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40311" w14:textId="77777777" w:rsidR="0017252F" w:rsidRDefault="0017252F" w:rsidP="00054C27">
      <w:pPr>
        <w:spacing w:after="0"/>
      </w:pPr>
    </w:p>
    <w:p w14:paraId="0F569B97" w14:textId="77777777" w:rsidR="00EA1E8E" w:rsidRPr="00EC6E87" w:rsidRDefault="006E1314" w:rsidP="00EA1E8E">
      <w:pPr>
        <w:jc w:val="center"/>
        <w:rPr>
          <w:b/>
          <w:sz w:val="40"/>
          <w:szCs w:val="40"/>
        </w:rPr>
      </w:pPr>
      <w:r w:rsidRPr="00EC6E87">
        <w:rPr>
          <w:b/>
          <w:sz w:val="40"/>
          <w:szCs w:val="40"/>
        </w:rPr>
        <w:t>AN I</w:t>
      </w:r>
      <w:r w:rsidR="00430C62" w:rsidRPr="00EC6E87">
        <w:rPr>
          <w:b/>
          <w:sz w:val="40"/>
          <w:szCs w:val="40"/>
        </w:rPr>
        <w:t xml:space="preserve">NSURTECH </w:t>
      </w:r>
      <w:r w:rsidR="00D74C1D" w:rsidRPr="00EC6E87">
        <w:rPr>
          <w:b/>
          <w:sz w:val="40"/>
          <w:szCs w:val="40"/>
        </w:rPr>
        <w:t>GREENHOUSE</w:t>
      </w:r>
      <w:r w:rsidRPr="00EC6E87">
        <w:rPr>
          <w:b/>
          <w:sz w:val="40"/>
          <w:szCs w:val="40"/>
        </w:rPr>
        <w:t xml:space="preserve">:  FUTURE US-UK REGULATORY AND FINTECH </w:t>
      </w:r>
      <w:r w:rsidR="00430C62" w:rsidRPr="00EC6E87">
        <w:rPr>
          <w:b/>
          <w:sz w:val="40"/>
          <w:szCs w:val="40"/>
        </w:rPr>
        <w:t>COLLABORATION</w:t>
      </w:r>
    </w:p>
    <w:p w14:paraId="089B9F5D" w14:textId="55099BC9" w:rsidR="00EA1E8E" w:rsidRPr="00EC6E87" w:rsidRDefault="00EA1E8E" w:rsidP="00EA1E8E">
      <w:pPr>
        <w:jc w:val="center"/>
        <w:rPr>
          <w:b/>
          <w:sz w:val="24"/>
          <w:szCs w:val="24"/>
        </w:rPr>
      </w:pPr>
      <w:r w:rsidRPr="00EC6E87">
        <w:rPr>
          <w:b/>
          <w:sz w:val="24"/>
          <w:szCs w:val="24"/>
        </w:rPr>
        <w:t>Paul Thanos Global Trade and Investment Fellow</w:t>
      </w:r>
    </w:p>
    <w:p w14:paraId="553D6C67" w14:textId="77777777" w:rsidR="00EA1E8E" w:rsidRPr="00EC6E87" w:rsidRDefault="00EA1E8E" w:rsidP="00EA1E8E">
      <w:pPr>
        <w:jc w:val="center"/>
        <w:rPr>
          <w:b/>
          <w:sz w:val="24"/>
          <w:szCs w:val="24"/>
        </w:rPr>
      </w:pPr>
      <w:r w:rsidRPr="00EC6E87">
        <w:rPr>
          <w:b/>
          <w:sz w:val="24"/>
          <w:szCs w:val="24"/>
        </w:rPr>
        <w:t>Woodrow Wilson International Center for Scholars</w:t>
      </w:r>
    </w:p>
    <w:p w14:paraId="30749F69" w14:textId="77777777" w:rsidR="006C34B6" w:rsidRPr="00EC6E87" w:rsidRDefault="006C34B6" w:rsidP="00340A62">
      <w:pPr>
        <w:rPr>
          <w:sz w:val="24"/>
          <w:szCs w:val="24"/>
        </w:rPr>
      </w:pPr>
      <w:r w:rsidRPr="00EC6E87">
        <w:rPr>
          <w:noProof/>
          <w:sz w:val="24"/>
          <w:szCs w:val="24"/>
        </w:rPr>
        <mc:AlternateContent>
          <mc:Choice Requires="wps">
            <w:drawing>
              <wp:anchor distT="45720" distB="45720" distL="114300" distR="114300" simplePos="0" relativeHeight="251659264" behindDoc="0" locked="0" layoutInCell="1" allowOverlap="1" wp14:anchorId="2A8F2184" wp14:editId="500595F3">
                <wp:simplePos x="0" y="0"/>
                <wp:positionH relativeFrom="margin">
                  <wp:align>left</wp:align>
                </wp:positionH>
                <wp:positionV relativeFrom="paragraph">
                  <wp:posOffset>335915</wp:posOffset>
                </wp:positionV>
                <wp:extent cx="6419850" cy="1533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533525"/>
                        </a:xfrm>
                        <a:prstGeom prst="rect">
                          <a:avLst/>
                        </a:prstGeom>
                        <a:solidFill>
                          <a:srgbClr val="FFFFFF"/>
                        </a:solidFill>
                        <a:ln w="9525">
                          <a:solidFill>
                            <a:srgbClr val="000000"/>
                          </a:solidFill>
                          <a:miter lim="800000"/>
                          <a:headEnd/>
                          <a:tailEnd/>
                        </a:ln>
                      </wps:spPr>
                      <wps:txbx>
                        <w:txbxContent>
                          <w:p w14:paraId="2F742073" w14:textId="77777777" w:rsidR="006C34B6" w:rsidRPr="00EA1E8E" w:rsidRDefault="006C34B6" w:rsidP="006C34B6">
                            <w:pPr>
                              <w:rPr>
                                <w:sz w:val="32"/>
                                <w:szCs w:val="32"/>
                              </w:rPr>
                            </w:pPr>
                            <w:r w:rsidRPr="00EA1E8E">
                              <w:rPr>
                                <w:sz w:val="32"/>
                                <w:szCs w:val="32"/>
                              </w:rPr>
                              <w:t>Insurtech will lead to more change in the i</w:t>
                            </w:r>
                            <w:r w:rsidR="00464CD3">
                              <w:rPr>
                                <w:sz w:val="32"/>
                                <w:szCs w:val="32"/>
                              </w:rPr>
                              <w:t>nsurance industry in the next ten to fifteen</w:t>
                            </w:r>
                            <w:r w:rsidRPr="00EA1E8E">
                              <w:rPr>
                                <w:sz w:val="32"/>
                                <w:szCs w:val="32"/>
                              </w:rPr>
                              <w:t xml:space="preserve"> years than it has seen in the centuries since Edward Lloyd set up his coffee shop near the wharves in London in 1688 and began coordinating the writing of policies to cover o</w:t>
                            </w:r>
                            <w:r w:rsidR="00D92420">
                              <w:rPr>
                                <w:sz w:val="32"/>
                                <w:szCs w:val="32"/>
                              </w:rPr>
                              <w:t>cean-going vessels.</w:t>
                            </w:r>
                          </w:p>
                          <w:p w14:paraId="150DA8A8" w14:textId="77777777" w:rsidR="006C34B6" w:rsidRPr="00EA1E8E" w:rsidRDefault="006C34B6" w:rsidP="006C34B6">
                            <w:pPr>
                              <w:rPr>
                                <w:sz w:val="32"/>
                                <w:szCs w:val="32"/>
                              </w:rPr>
                            </w:pPr>
                            <w:r w:rsidRPr="00EA1E8E">
                              <w:rPr>
                                <w:sz w:val="32"/>
                                <w:szCs w:val="32"/>
                              </w:rPr>
                              <w:t xml:space="preserve">Paul Carroll Editor and CEO Insurance Thought Leadership </w:t>
                            </w:r>
                          </w:p>
                          <w:p w14:paraId="480BF672" w14:textId="77777777" w:rsidR="006C34B6" w:rsidRDefault="006C34B6" w:rsidP="006C34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8F2184" id="_x0000_t202" coordsize="21600,21600" o:spt="202" path="m,l,21600r21600,l21600,xe">
                <v:stroke joinstyle="miter"/>
                <v:path gradientshapeok="t" o:connecttype="rect"/>
              </v:shapetype>
              <v:shape id="Text Box 2" o:spid="_x0000_s1026" type="#_x0000_t202" style="position:absolute;margin-left:0;margin-top:26.45pt;width:505.5pt;height:12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">
                <v:textbox>
                  <w:txbxContent>
                    <w:p w14:paraId="2F742073" w14:textId="77777777" w:rsidR="006C34B6" w:rsidRPr="00EA1E8E" w:rsidRDefault="006C34B6" w:rsidP="006C34B6">
                      <w:pPr>
                        <w:rPr>
                          <w:sz w:val="32"/>
                          <w:szCs w:val="32"/>
                        </w:rPr>
                      </w:pPr>
                      <w:r w:rsidRPr="00EA1E8E">
                        <w:rPr>
                          <w:sz w:val="32"/>
                          <w:szCs w:val="32"/>
                        </w:rPr>
                        <w:t>Insurtech will lead to more change in the i</w:t>
                      </w:r>
                      <w:r w:rsidR="00464CD3">
                        <w:rPr>
                          <w:sz w:val="32"/>
                          <w:szCs w:val="32"/>
                        </w:rPr>
                        <w:t>nsurance industry in the next ten to fifteen</w:t>
                      </w:r>
                      <w:r w:rsidRPr="00EA1E8E">
                        <w:rPr>
                          <w:sz w:val="32"/>
                          <w:szCs w:val="32"/>
                        </w:rPr>
                        <w:t xml:space="preserve"> years than it has seen in the centuries since Edward Lloyd set up his coffee shop near the wharves in London in 1688 and began coordinating the writing of policies to cover o</w:t>
                      </w:r>
                      <w:r w:rsidR="00D92420">
                        <w:rPr>
                          <w:sz w:val="32"/>
                          <w:szCs w:val="32"/>
                        </w:rPr>
                        <w:t>cean-going vessels.</w:t>
                      </w:r>
                    </w:p>
                    <w:p w14:paraId="150DA8A8" w14:textId="77777777" w:rsidR="006C34B6" w:rsidRPr="00EA1E8E" w:rsidRDefault="006C34B6" w:rsidP="006C34B6">
                      <w:pPr>
                        <w:rPr>
                          <w:sz w:val="32"/>
                          <w:szCs w:val="32"/>
                        </w:rPr>
                      </w:pPr>
                      <w:r w:rsidRPr="00EA1E8E">
                        <w:rPr>
                          <w:sz w:val="32"/>
                          <w:szCs w:val="32"/>
                        </w:rPr>
                        <w:t xml:space="preserve">Paul Carroll Editor and CEO Insurance Thought Leadership </w:t>
                      </w:r>
                    </w:p>
                    <w:p w14:paraId="480BF672" w14:textId="77777777" w:rsidR="006C34B6" w:rsidRDefault="006C34B6" w:rsidP="006C34B6"/>
                  </w:txbxContent>
                </v:textbox>
                <w10:wrap type="square" anchorx="margin"/>
              </v:shape>
            </w:pict>
          </mc:Fallback>
        </mc:AlternateContent>
      </w:r>
    </w:p>
    <w:p w14:paraId="05143985" w14:textId="77777777" w:rsidR="006C34B6" w:rsidRPr="00EC6E87" w:rsidRDefault="006C34B6" w:rsidP="00340A62">
      <w:pPr>
        <w:rPr>
          <w:sz w:val="24"/>
          <w:szCs w:val="24"/>
        </w:rPr>
      </w:pPr>
    </w:p>
    <w:p w14:paraId="73EF4388" w14:textId="2D6BED1A" w:rsidR="00340A62" w:rsidRPr="00C15869" w:rsidRDefault="0090022B" w:rsidP="00C15869">
      <w:pPr>
        <w:pStyle w:val="Default"/>
        <w:spacing w:before="100" w:beforeAutospacing="1"/>
        <w:rPr>
          <w:rFonts w:asciiTheme="minorHAnsi" w:hAnsiTheme="minorHAnsi"/>
        </w:rPr>
      </w:pPr>
      <w:r w:rsidRPr="00C15869">
        <w:rPr>
          <w:rFonts w:asciiTheme="minorHAnsi" w:hAnsiTheme="minorHAnsi"/>
        </w:rPr>
        <w:t>As the Trump Administration begins to implement a new trade and investment agenda for the United States, all avenues should be explored in order to</w:t>
      </w:r>
      <w:r w:rsidR="005502D5" w:rsidRPr="00C15869">
        <w:rPr>
          <w:rFonts w:asciiTheme="minorHAnsi" w:hAnsiTheme="minorHAnsi"/>
        </w:rPr>
        <w:t xml:space="preserve"> maximize opportunities for </w:t>
      </w:r>
      <w:r w:rsidRPr="00C15869">
        <w:rPr>
          <w:rFonts w:asciiTheme="minorHAnsi" w:hAnsiTheme="minorHAnsi"/>
        </w:rPr>
        <w:t>American businesses to expand, create jobs, and compete in international markets.  2016 has seen explosive gr</w:t>
      </w:r>
      <w:r w:rsidR="007659E9" w:rsidRPr="00C15869">
        <w:rPr>
          <w:rFonts w:asciiTheme="minorHAnsi" w:hAnsiTheme="minorHAnsi"/>
        </w:rPr>
        <w:t>owth in financial technology (</w:t>
      </w:r>
      <w:r w:rsidRPr="00C15869">
        <w:rPr>
          <w:rFonts w:asciiTheme="minorHAnsi" w:hAnsiTheme="minorHAnsi"/>
        </w:rPr>
        <w:t>fintech</w:t>
      </w:r>
      <w:r w:rsidR="007659E9" w:rsidRPr="00C15869">
        <w:rPr>
          <w:rFonts w:asciiTheme="minorHAnsi" w:hAnsiTheme="minorHAnsi"/>
        </w:rPr>
        <w:t>)</w:t>
      </w:r>
      <w:r w:rsidRPr="00C15869">
        <w:rPr>
          <w:rFonts w:asciiTheme="minorHAnsi" w:hAnsiTheme="minorHAnsi"/>
        </w:rPr>
        <w:t xml:space="preserve"> companies both in the United States and around the world.  Fintech refers to companies whose line of business combines software and technology to deliver financial serv</w:t>
      </w:r>
      <w:r w:rsidR="007659E9" w:rsidRPr="00C15869">
        <w:rPr>
          <w:rFonts w:asciiTheme="minorHAnsi" w:hAnsiTheme="minorHAnsi"/>
        </w:rPr>
        <w:t>ices</w:t>
      </w:r>
      <w:r w:rsidR="00F44FB7" w:rsidRPr="00C15869">
        <w:rPr>
          <w:rFonts w:asciiTheme="minorHAnsi" w:hAnsiTheme="minorHAnsi"/>
        </w:rPr>
        <w:t>.</w:t>
      </w:r>
      <w:r w:rsidR="00F44FB7" w:rsidRPr="00C15869">
        <w:rPr>
          <w:rStyle w:val="FootnoteReference"/>
          <w:rFonts w:asciiTheme="minorHAnsi" w:hAnsiTheme="minorHAnsi"/>
        </w:rPr>
        <w:footnoteReference w:id="1"/>
      </w:r>
      <w:r w:rsidR="00F44FB7" w:rsidRPr="00C15869">
        <w:rPr>
          <w:rFonts w:asciiTheme="minorHAnsi" w:hAnsiTheme="minorHAnsi"/>
        </w:rPr>
        <w:t xml:space="preserve">  </w:t>
      </w:r>
      <w:r w:rsidRPr="00C15869">
        <w:rPr>
          <w:rFonts w:asciiTheme="minorHAnsi" w:hAnsiTheme="minorHAnsi"/>
        </w:rPr>
        <w:t xml:space="preserve">Fintech companies include businesses focused on payments, </w:t>
      </w:r>
      <w:r w:rsidR="00355D76" w:rsidRPr="00C15869">
        <w:rPr>
          <w:rFonts w:asciiTheme="minorHAnsi" w:hAnsiTheme="minorHAnsi"/>
        </w:rPr>
        <w:t xml:space="preserve">blockchain, </w:t>
      </w:r>
      <w:r w:rsidRPr="00C15869">
        <w:rPr>
          <w:rFonts w:asciiTheme="minorHAnsi" w:hAnsiTheme="minorHAnsi"/>
        </w:rPr>
        <w:t xml:space="preserve">wealth management, crowdfunding, </w:t>
      </w:r>
      <w:r w:rsidR="004267EC" w:rsidRPr="00C15869">
        <w:rPr>
          <w:rFonts w:asciiTheme="minorHAnsi" w:hAnsiTheme="minorHAnsi"/>
        </w:rPr>
        <w:t xml:space="preserve">digital currencies, </w:t>
      </w:r>
      <w:r w:rsidRPr="00C15869">
        <w:rPr>
          <w:rFonts w:asciiTheme="minorHAnsi" w:hAnsiTheme="minorHAnsi"/>
        </w:rPr>
        <w:t xml:space="preserve">peer-to-peer lending, clearance and settlement, and </w:t>
      </w:r>
      <w:r w:rsidR="00355D76" w:rsidRPr="00C15869">
        <w:rPr>
          <w:rFonts w:asciiTheme="minorHAnsi" w:hAnsiTheme="minorHAnsi"/>
        </w:rPr>
        <w:t xml:space="preserve">most recently the </w:t>
      </w:r>
      <w:r w:rsidRPr="00C15869">
        <w:rPr>
          <w:rFonts w:asciiTheme="minorHAnsi" w:hAnsiTheme="minorHAnsi"/>
        </w:rPr>
        <w:t>insurance</w:t>
      </w:r>
      <w:r w:rsidR="00355D76" w:rsidRPr="00C15869">
        <w:rPr>
          <w:rFonts w:asciiTheme="minorHAnsi" w:hAnsiTheme="minorHAnsi"/>
        </w:rPr>
        <w:t xml:space="preserve"> sector</w:t>
      </w:r>
      <w:r w:rsidR="007E56A2" w:rsidRPr="00C15869">
        <w:rPr>
          <w:rFonts w:asciiTheme="minorHAnsi" w:hAnsiTheme="minorHAnsi"/>
        </w:rPr>
        <w:t xml:space="preserve"> (insurtech)</w:t>
      </w:r>
      <w:r w:rsidRPr="00C15869">
        <w:rPr>
          <w:rFonts w:asciiTheme="minorHAnsi" w:hAnsiTheme="minorHAnsi"/>
        </w:rPr>
        <w:t xml:space="preserve">.   </w:t>
      </w:r>
      <w:r w:rsidR="004643C1" w:rsidRPr="00C15869">
        <w:rPr>
          <w:rFonts w:asciiTheme="minorHAnsi" w:hAnsiTheme="minorHAnsi"/>
        </w:rPr>
        <w:t>Automation, new sources of data, mobile technologies, and new insurance models are all changing how insurance companies do business.</w:t>
      </w:r>
      <w:r w:rsidR="004643C1" w:rsidRPr="00C15869">
        <w:rPr>
          <w:rStyle w:val="FootnoteReference"/>
          <w:rFonts w:asciiTheme="minorHAnsi" w:hAnsiTheme="minorHAnsi"/>
        </w:rPr>
        <w:footnoteReference w:id="2"/>
      </w:r>
      <w:r w:rsidR="004643C1" w:rsidRPr="00C15869">
        <w:rPr>
          <w:rFonts w:asciiTheme="minorHAnsi" w:hAnsiTheme="minorHAnsi"/>
        </w:rPr>
        <w:t xml:space="preserve">  </w:t>
      </w:r>
      <w:r w:rsidR="00C15869" w:rsidRPr="00482CF1">
        <w:rPr>
          <w:rFonts w:asciiTheme="minorHAnsi" w:hAnsiTheme="minorHAnsi"/>
        </w:rPr>
        <w:t xml:space="preserve">Many </w:t>
      </w:r>
      <w:r w:rsidR="00C15869" w:rsidRPr="00482CF1">
        <w:rPr>
          <w:rFonts w:asciiTheme="minorHAnsi" w:eastAsia="Times New Roman" w:hAnsiTheme="minorHAnsi" w:cs="Times New Roman"/>
          <w:color w:val="1E1E1E"/>
        </w:rPr>
        <w:t xml:space="preserve">U.S. fintech companies consistently cite the lack of a clear and coherent </w:t>
      </w:r>
      <w:r w:rsidR="00C15869" w:rsidRPr="00482CF1">
        <w:rPr>
          <w:rFonts w:asciiTheme="minorHAnsi" w:hAnsiTheme="minorHAnsi"/>
          <w:color w:val="1E1E1E"/>
        </w:rPr>
        <w:t xml:space="preserve">regulatory structure within the </w:t>
      </w:r>
      <w:r w:rsidR="00C15869" w:rsidRPr="00482CF1">
        <w:rPr>
          <w:rFonts w:asciiTheme="minorHAnsi" w:eastAsia="Times New Roman" w:hAnsiTheme="minorHAnsi" w:cs="Times New Roman"/>
          <w:color w:val="1E1E1E"/>
        </w:rPr>
        <w:t>United States as a major impediment to further growth and expansion</w:t>
      </w:r>
      <w:r w:rsidR="00C15869" w:rsidRPr="00C15869">
        <w:rPr>
          <w:rFonts w:asciiTheme="minorHAnsi" w:eastAsia="Times New Roman" w:hAnsiTheme="minorHAnsi" w:cs="Times New Roman"/>
          <w:color w:val="1E1E1E"/>
        </w:rPr>
        <w:t xml:space="preserve">.   </w:t>
      </w:r>
      <w:r w:rsidR="00293414" w:rsidRPr="00C15869">
        <w:rPr>
          <w:rFonts w:asciiTheme="minorHAnsi" w:hAnsiTheme="minorHAnsi"/>
        </w:rPr>
        <w:t xml:space="preserve">The power of fintech </w:t>
      </w:r>
      <w:r w:rsidR="007E56A2" w:rsidRPr="00C15869">
        <w:rPr>
          <w:rFonts w:asciiTheme="minorHAnsi" w:hAnsiTheme="minorHAnsi"/>
        </w:rPr>
        <w:t xml:space="preserve">and insurtech </w:t>
      </w:r>
      <w:r w:rsidR="00293414" w:rsidRPr="00C15869">
        <w:rPr>
          <w:rFonts w:asciiTheme="minorHAnsi" w:hAnsiTheme="minorHAnsi"/>
        </w:rPr>
        <w:t xml:space="preserve">to accelerate financial inclusion and provide greater financial security to the marginal and the unbanked is one of the greatest potential impacts of this segment of finance.   </w:t>
      </w:r>
    </w:p>
    <w:p w14:paraId="3CFEBCA8" w14:textId="6C4E8D14" w:rsidR="005502D5" w:rsidRPr="00EC6E87" w:rsidRDefault="00340A62" w:rsidP="00054C27">
      <w:pPr>
        <w:pStyle w:val="Default"/>
        <w:spacing w:before="100" w:beforeAutospacing="1"/>
        <w:rPr>
          <w:rFonts w:asciiTheme="minorHAnsi" w:hAnsiTheme="minorHAnsi"/>
        </w:rPr>
      </w:pPr>
      <w:r w:rsidRPr="00EC6E87">
        <w:rPr>
          <w:rFonts w:asciiTheme="minorHAnsi" w:hAnsiTheme="minorHAnsi"/>
        </w:rPr>
        <w:t xml:space="preserve">Fintech </w:t>
      </w:r>
      <w:r w:rsidR="004267EC" w:rsidRPr="00EC6E87">
        <w:rPr>
          <w:rFonts w:asciiTheme="minorHAnsi" w:hAnsiTheme="minorHAnsi"/>
        </w:rPr>
        <w:t xml:space="preserve">plays an essential role in expanding access to capital for citizens who may or may not have access to banks or more traditional financial services.  Fintech can help address the </w:t>
      </w:r>
      <w:r w:rsidR="004267EC" w:rsidRPr="00EC6E87">
        <w:rPr>
          <w:rFonts w:asciiTheme="minorHAnsi" w:hAnsiTheme="minorHAnsi"/>
        </w:rPr>
        <w:lastRenderedPageBreak/>
        <w:t>growing program of “capital deserts” by</w:t>
      </w:r>
      <w:r w:rsidR="00A504BE" w:rsidRPr="00EC6E87">
        <w:rPr>
          <w:rFonts w:asciiTheme="minorHAnsi" w:hAnsiTheme="minorHAnsi"/>
        </w:rPr>
        <w:t xml:space="preserve"> </w:t>
      </w:r>
      <w:r w:rsidR="004267EC" w:rsidRPr="00EC6E87">
        <w:rPr>
          <w:rFonts w:asciiTheme="minorHAnsi" w:hAnsiTheme="minorHAnsi"/>
        </w:rPr>
        <w:t xml:space="preserve">providing citizens tools </w:t>
      </w:r>
      <w:r w:rsidR="007659E9" w:rsidRPr="00EC6E87">
        <w:rPr>
          <w:rFonts w:asciiTheme="minorHAnsi" w:hAnsiTheme="minorHAnsi"/>
        </w:rPr>
        <w:t>to access capital particularly in underserved rural and urban areas</w:t>
      </w:r>
      <w:r w:rsidR="004267EC" w:rsidRPr="00EC6E87">
        <w:rPr>
          <w:rFonts w:asciiTheme="minorHAnsi" w:hAnsiTheme="minorHAnsi"/>
        </w:rPr>
        <w:t xml:space="preserve">.  </w:t>
      </w:r>
      <w:r w:rsidR="00A504BE" w:rsidRPr="00EC6E87">
        <w:rPr>
          <w:rFonts w:asciiTheme="minorHAnsi" w:hAnsiTheme="minorHAnsi"/>
        </w:rPr>
        <w:t xml:space="preserve"> Greater financial inclusion has been a key goal and objective of the G</w:t>
      </w:r>
      <w:r w:rsidR="00293414" w:rsidRPr="00EC6E87">
        <w:rPr>
          <w:rFonts w:asciiTheme="minorHAnsi" w:hAnsiTheme="minorHAnsi"/>
        </w:rPr>
        <w:t xml:space="preserve">20 since at least 2009.  </w:t>
      </w:r>
    </w:p>
    <w:p w14:paraId="13984370" w14:textId="5EDB2F86" w:rsidR="00364975" w:rsidRPr="00EC6E87" w:rsidRDefault="0090022B" w:rsidP="00054C27">
      <w:pPr>
        <w:pStyle w:val="Default"/>
        <w:spacing w:before="100" w:beforeAutospacing="1"/>
        <w:rPr>
          <w:rFonts w:asciiTheme="minorHAnsi" w:hAnsiTheme="minorHAnsi"/>
          <w:lang w:val="en"/>
        </w:rPr>
      </w:pPr>
      <w:r w:rsidRPr="00EC6E87">
        <w:rPr>
          <w:rFonts w:asciiTheme="minorHAnsi" w:hAnsiTheme="minorHAnsi"/>
          <w:lang w:val="en"/>
        </w:rPr>
        <w:t>After reaching $19 billion in total in 2015, worldwide fintech funding hit $</w:t>
      </w:r>
      <w:r w:rsidR="007659E9" w:rsidRPr="00EC6E87">
        <w:rPr>
          <w:rFonts w:asciiTheme="minorHAnsi" w:hAnsiTheme="minorHAnsi"/>
          <w:lang w:val="en"/>
        </w:rPr>
        <w:t>15 billion by mid-August 2016 with t</w:t>
      </w:r>
      <w:r w:rsidRPr="00EC6E87">
        <w:rPr>
          <w:rFonts w:asciiTheme="minorHAnsi" w:hAnsiTheme="minorHAnsi"/>
          <w:lang w:val="en"/>
        </w:rPr>
        <w:t>he United States, Europe, and the Asia-Pacific (APAC) region le</w:t>
      </w:r>
      <w:r w:rsidR="00EC6E87">
        <w:rPr>
          <w:rFonts w:asciiTheme="minorHAnsi" w:hAnsiTheme="minorHAnsi"/>
          <w:lang w:val="en"/>
        </w:rPr>
        <w:t>a</w:t>
      </w:r>
      <w:r w:rsidRPr="00EC6E87">
        <w:rPr>
          <w:rFonts w:asciiTheme="minorHAnsi" w:hAnsiTheme="minorHAnsi"/>
          <w:lang w:val="en"/>
        </w:rPr>
        <w:t>d</w:t>
      </w:r>
      <w:r w:rsidR="00EC6E87">
        <w:rPr>
          <w:rFonts w:asciiTheme="minorHAnsi" w:hAnsiTheme="minorHAnsi"/>
          <w:lang w:val="en"/>
        </w:rPr>
        <w:t>ing</w:t>
      </w:r>
      <w:r w:rsidRPr="00EC6E87">
        <w:rPr>
          <w:rFonts w:asciiTheme="minorHAnsi" w:hAnsiTheme="minorHAnsi"/>
          <w:lang w:val="en"/>
        </w:rPr>
        <w:t xml:space="preserve"> the way in attracting the most fintech investment.  Accelerators and incubators</w:t>
      </w:r>
      <w:r w:rsidR="00293414" w:rsidRPr="00EC6E87">
        <w:rPr>
          <w:rFonts w:asciiTheme="minorHAnsi" w:hAnsiTheme="minorHAnsi"/>
          <w:lang w:val="en"/>
        </w:rPr>
        <w:t xml:space="preserve"> set up by established financial services companies</w:t>
      </w:r>
      <w:r w:rsidRPr="00EC6E87">
        <w:rPr>
          <w:rFonts w:asciiTheme="minorHAnsi" w:hAnsiTheme="minorHAnsi"/>
          <w:lang w:val="en"/>
        </w:rPr>
        <w:t xml:space="preserve"> and their tech partners are encouraging this growth, as these programs place fintech companies on the cutting edge of business ideas, along with a first-mover advantage if they want to invest in or acquire startups.</w:t>
      </w:r>
      <w:r w:rsidR="00364975" w:rsidRPr="00EC6E87">
        <w:rPr>
          <w:rFonts w:asciiTheme="minorHAnsi" w:hAnsiTheme="minorHAnsi"/>
          <w:lang w:val="en"/>
        </w:rPr>
        <w:t xml:space="preserve">  Fintech funding surged in 2016 due to tremendous funding rounds by Chine</w:t>
      </w:r>
      <w:r w:rsidR="00EC6E87">
        <w:rPr>
          <w:rFonts w:asciiTheme="minorHAnsi" w:hAnsiTheme="minorHAnsi"/>
          <w:lang w:val="en"/>
        </w:rPr>
        <w:t>se fintechs along with expanded</w:t>
      </w:r>
      <w:r w:rsidR="00364975" w:rsidRPr="00EC6E87">
        <w:rPr>
          <w:rFonts w:asciiTheme="minorHAnsi" w:hAnsiTheme="minorHAnsi"/>
          <w:lang w:val="en"/>
        </w:rPr>
        <w:t xml:space="preserve"> interest in i</w:t>
      </w:r>
      <w:r w:rsidR="00EC6E87">
        <w:rPr>
          <w:rFonts w:asciiTheme="minorHAnsi" w:hAnsiTheme="minorHAnsi"/>
          <w:lang w:val="en"/>
        </w:rPr>
        <w:t>nsurtechs.  Venture capital (VC</w:t>
      </w:r>
      <w:r w:rsidR="00364975" w:rsidRPr="00EC6E87">
        <w:rPr>
          <w:rFonts w:asciiTheme="minorHAnsi" w:hAnsiTheme="minorHAnsi"/>
          <w:lang w:val="en"/>
        </w:rPr>
        <w:t>) has traditionally dominated fintech funding but many of the largest funding rounds in 2016 were private, with corporate investors starting to increase their investments either in competition or coordination with VCs.</w:t>
      </w:r>
      <w:r w:rsidR="008F7098" w:rsidRPr="00EC6E87">
        <w:rPr>
          <w:rStyle w:val="FootnoteReference"/>
          <w:rFonts w:asciiTheme="minorHAnsi" w:hAnsiTheme="minorHAnsi"/>
          <w:lang w:val="en"/>
        </w:rPr>
        <w:footnoteReference w:id="3"/>
      </w:r>
      <w:r w:rsidR="008F7098" w:rsidRPr="00EC6E87">
        <w:rPr>
          <w:rFonts w:asciiTheme="minorHAnsi" w:hAnsiTheme="minorHAnsi"/>
          <w:lang w:val="en"/>
        </w:rPr>
        <w:t xml:space="preserve"> </w:t>
      </w:r>
    </w:p>
    <w:p w14:paraId="535FE153" w14:textId="77777777" w:rsidR="00790842" w:rsidRPr="00EC6E87" w:rsidRDefault="007659E9" w:rsidP="00054C27">
      <w:pPr>
        <w:pStyle w:val="Default"/>
        <w:spacing w:before="100" w:beforeAutospacing="1"/>
        <w:rPr>
          <w:rFonts w:asciiTheme="minorHAnsi" w:hAnsiTheme="minorHAnsi" w:cs="Helvetica"/>
          <w:color w:val="1C5A7B"/>
          <w:lang w:val="en"/>
        </w:rPr>
      </w:pPr>
      <w:r w:rsidRPr="00EC6E87">
        <w:rPr>
          <w:rFonts w:asciiTheme="minorHAnsi" w:hAnsiTheme="minorHAnsi"/>
          <w:lang w:val="en"/>
        </w:rPr>
        <w:t xml:space="preserve">As </w:t>
      </w:r>
      <w:r w:rsidR="00D2682D" w:rsidRPr="00EC6E87">
        <w:rPr>
          <w:rFonts w:asciiTheme="minorHAnsi" w:hAnsiTheme="minorHAnsi"/>
          <w:lang w:val="en"/>
        </w:rPr>
        <w:t>the Information Technology and Innovation Fou</w:t>
      </w:r>
      <w:r w:rsidR="00192A68" w:rsidRPr="00EC6E87">
        <w:rPr>
          <w:rFonts w:asciiTheme="minorHAnsi" w:hAnsiTheme="minorHAnsi"/>
          <w:lang w:val="en"/>
        </w:rPr>
        <w:t>nd</w:t>
      </w:r>
      <w:r w:rsidR="00790842" w:rsidRPr="00EC6E87">
        <w:rPr>
          <w:rFonts w:asciiTheme="minorHAnsi" w:hAnsiTheme="minorHAnsi"/>
          <w:lang w:val="en"/>
        </w:rPr>
        <w:t xml:space="preserve">ation (ITIF) points out in its </w:t>
      </w:r>
      <w:r w:rsidR="00D2682D" w:rsidRPr="00EC6E87">
        <w:rPr>
          <w:rFonts w:asciiTheme="minorHAnsi" w:hAnsiTheme="minorHAnsi"/>
          <w:lang w:val="en"/>
        </w:rPr>
        <w:t xml:space="preserve">comprehensive article “Policy Principles for Fintech”, </w:t>
      </w:r>
      <w:r w:rsidR="00D2682D" w:rsidRPr="00EC6E87">
        <w:rPr>
          <w:rFonts w:asciiTheme="minorHAnsi" w:hAnsiTheme="minorHAnsi"/>
        </w:rPr>
        <w:t>the financial services indus</w:t>
      </w:r>
      <w:r w:rsidRPr="00EC6E87">
        <w:rPr>
          <w:rFonts w:asciiTheme="minorHAnsi" w:hAnsiTheme="minorHAnsi"/>
        </w:rPr>
        <w:t xml:space="preserve">try </w:t>
      </w:r>
      <w:r w:rsidR="00966834" w:rsidRPr="00EC6E87">
        <w:rPr>
          <w:rFonts w:asciiTheme="minorHAnsi" w:hAnsiTheme="minorHAnsi"/>
        </w:rPr>
        <w:t xml:space="preserve">is </w:t>
      </w:r>
      <w:r w:rsidR="00790842" w:rsidRPr="00EC6E87">
        <w:rPr>
          <w:rFonts w:asciiTheme="minorHAnsi" w:hAnsiTheme="minorHAnsi"/>
        </w:rPr>
        <w:t xml:space="preserve">an </w:t>
      </w:r>
      <w:r w:rsidR="00790842" w:rsidRPr="00EC6E87">
        <w:rPr>
          <w:rFonts w:asciiTheme="minorHAnsi" w:hAnsiTheme="minorHAnsi"/>
          <w:i/>
        </w:rPr>
        <w:t xml:space="preserve">information </w:t>
      </w:r>
      <w:r w:rsidR="00790842" w:rsidRPr="00EC6E87">
        <w:rPr>
          <w:rFonts w:asciiTheme="minorHAnsi" w:hAnsiTheme="minorHAnsi"/>
        </w:rPr>
        <w:t xml:space="preserve">industry </w:t>
      </w:r>
      <w:r w:rsidR="00790842" w:rsidRPr="00EC6E87">
        <w:rPr>
          <w:rFonts w:asciiTheme="minorHAnsi" w:hAnsiTheme="minorHAnsi" w:cs="Helvetica"/>
          <w:color w:val="auto"/>
          <w:lang w:val="en"/>
        </w:rPr>
        <w:t>where money is simply a nominal representation of real value (goods or services). Yet, compared with some information industries that reaped disruptive gains from information technology, the financial-services industry has experienced mostly incremental innovation. For example, the creation of the Internet enabled innovators to route voice traffic over Internet Protocol networks, changing telephony from an expensive, intermediary-driven system into the more efficient, globally interconnected system we have today. The financial services industry is potentially at a similar inflection point, where expensive, single-purpose networks and systems are giving way to cheaper, general-purpose ones</w:t>
      </w:r>
      <w:r w:rsidR="00790842" w:rsidRPr="00EC6E87">
        <w:rPr>
          <w:rFonts w:asciiTheme="minorHAnsi" w:hAnsiTheme="minorHAnsi" w:cs="Helvetica"/>
          <w:color w:val="1C5A7B"/>
          <w:lang w:val="en"/>
        </w:rPr>
        <w:t xml:space="preserve">.  </w:t>
      </w:r>
    </w:p>
    <w:p w14:paraId="20540B7D" w14:textId="77777777" w:rsidR="00966834" w:rsidRPr="00EC6E87" w:rsidRDefault="00966834" w:rsidP="00966834">
      <w:pPr>
        <w:rPr>
          <w:sz w:val="24"/>
          <w:szCs w:val="24"/>
        </w:rPr>
      </w:pPr>
    </w:p>
    <w:p w14:paraId="5349882F" w14:textId="77777777" w:rsidR="00205F6B" w:rsidRPr="00EC6E87" w:rsidRDefault="00D2682D" w:rsidP="00966834">
      <w:pPr>
        <w:rPr>
          <w:rFonts w:cs="Arial"/>
          <w:color w:val="333333"/>
          <w:sz w:val="24"/>
          <w:szCs w:val="24"/>
          <w:lang w:val="en"/>
        </w:rPr>
      </w:pPr>
      <w:r w:rsidRPr="00EC6E87">
        <w:rPr>
          <w:sz w:val="24"/>
          <w:szCs w:val="24"/>
        </w:rPr>
        <w:t xml:space="preserve">The fintech businesses pushing this transformation promise improvements in financial-services industry productivity, greater ease and lower prices for consumers, and greater access for those now underserved by the financial-services sector. These innovations are poised to radically improve how consumers and businesses transfer money and make payments, store value, save and invest, borrow, and insure themselves against risk. But achieving this will require policymakers </w:t>
      </w:r>
      <w:r w:rsidR="007E56A2" w:rsidRPr="00EC6E87">
        <w:rPr>
          <w:sz w:val="24"/>
          <w:szCs w:val="24"/>
        </w:rPr>
        <w:t xml:space="preserve">and regulators </w:t>
      </w:r>
      <w:r w:rsidRPr="00EC6E87">
        <w:rPr>
          <w:sz w:val="24"/>
          <w:szCs w:val="24"/>
        </w:rPr>
        <w:t>to actively support fintech transformation.</w:t>
      </w:r>
      <w:r w:rsidR="008F7098" w:rsidRPr="00EC6E87">
        <w:rPr>
          <w:rStyle w:val="FootnoteReference"/>
          <w:sz w:val="24"/>
          <w:szCs w:val="24"/>
        </w:rPr>
        <w:footnoteReference w:id="4"/>
      </w:r>
      <w:r w:rsidR="00171C18" w:rsidRPr="00EC6E87">
        <w:rPr>
          <w:sz w:val="24"/>
          <w:szCs w:val="24"/>
        </w:rPr>
        <w:t xml:space="preserve"> </w:t>
      </w:r>
      <w:r w:rsidR="00205F6B" w:rsidRPr="00EC6E87">
        <w:rPr>
          <w:sz w:val="24"/>
          <w:szCs w:val="24"/>
        </w:rPr>
        <w:t xml:space="preserve">A question for the Trump Administration will be how best to create an environment that will maximize the opportunities and innovative potential for American firms within this emerging segment of financial services.  </w:t>
      </w:r>
      <w:r w:rsidR="00966834" w:rsidRPr="00EC6E87">
        <w:rPr>
          <w:sz w:val="24"/>
          <w:szCs w:val="24"/>
        </w:rPr>
        <w:t xml:space="preserve"> For the insurance sector specifically, the combination of Brexit with proposed changes in the federal role in both domestic and international insurance issues, create a once in a lifetime opportunity for the United States (both state regulators and the federal government) and the United Kingdom (UK) to create a 21</w:t>
      </w:r>
      <w:r w:rsidR="00966834" w:rsidRPr="00EC6E87">
        <w:rPr>
          <w:sz w:val="24"/>
          <w:szCs w:val="24"/>
          <w:vertAlign w:val="superscript"/>
        </w:rPr>
        <w:t>st</w:t>
      </w:r>
      <w:r w:rsidR="00966834" w:rsidRPr="00EC6E87">
        <w:rPr>
          <w:sz w:val="24"/>
          <w:szCs w:val="24"/>
        </w:rPr>
        <w:t xml:space="preserve"> century approach to the </w:t>
      </w:r>
      <w:r w:rsidR="00966834" w:rsidRPr="00EC6E87">
        <w:rPr>
          <w:sz w:val="24"/>
          <w:szCs w:val="24"/>
        </w:rPr>
        <w:lastRenderedPageBreak/>
        <w:t>intersection of insurance regulation and financial technology through the establishment of a cross-border insurtech greenhouse</w:t>
      </w:r>
      <w:r w:rsidR="00966834" w:rsidRPr="00EC6E87">
        <w:rPr>
          <w:rFonts w:cs="Arial"/>
          <w:color w:val="333333"/>
          <w:sz w:val="24"/>
          <w:szCs w:val="24"/>
          <w:lang w:val="en"/>
        </w:rPr>
        <w:t xml:space="preserve">.    </w:t>
      </w:r>
    </w:p>
    <w:p w14:paraId="46FA61BE" w14:textId="77777777" w:rsidR="00205F6B" w:rsidRPr="00EC6E87" w:rsidRDefault="004F0485" w:rsidP="00054C27">
      <w:pPr>
        <w:pStyle w:val="Default"/>
        <w:spacing w:before="100" w:beforeAutospacing="1"/>
        <w:rPr>
          <w:rFonts w:asciiTheme="minorHAnsi" w:hAnsiTheme="minorHAnsi"/>
          <w:b/>
        </w:rPr>
      </w:pPr>
      <w:r w:rsidRPr="00EC6E87">
        <w:rPr>
          <w:rFonts w:asciiTheme="minorHAnsi" w:hAnsiTheme="minorHAnsi"/>
          <w:b/>
        </w:rPr>
        <w:t>Current fintech landscape</w:t>
      </w:r>
      <w:r w:rsidR="00B1622F" w:rsidRPr="00EC6E87">
        <w:rPr>
          <w:rFonts w:asciiTheme="minorHAnsi" w:hAnsiTheme="minorHAnsi"/>
          <w:b/>
        </w:rPr>
        <w:t xml:space="preserve"> – and growth of insurtech</w:t>
      </w:r>
    </w:p>
    <w:p w14:paraId="0E849ABB" w14:textId="77777777" w:rsidR="00054C27" w:rsidRPr="00EC6E87" w:rsidRDefault="00957F9B" w:rsidP="00054C27">
      <w:pPr>
        <w:pStyle w:val="Default"/>
        <w:spacing w:before="100" w:beforeAutospacing="1"/>
        <w:rPr>
          <w:rFonts w:asciiTheme="minorHAnsi" w:hAnsiTheme="minorHAnsi"/>
        </w:rPr>
      </w:pPr>
      <w:r w:rsidRPr="00EC6E87">
        <w:rPr>
          <w:rFonts w:asciiTheme="minorHAnsi" w:hAnsiTheme="minorHAnsi"/>
        </w:rPr>
        <w:t xml:space="preserve">In 2015, the </w:t>
      </w:r>
      <w:r w:rsidRPr="00EC6E87">
        <w:rPr>
          <w:rFonts w:asciiTheme="minorHAnsi" w:hAnsiTheme="minorHAnsi"/>
          <w:i/>
          <w:iCs/>
        </w:rPr>
        <w:t xml:space="preserve">Economist </w:t>
      </w:r>
      <w:r w:rsidRPr="00EC6E87">
        <w:rPr>
          <w:rFonts w:asciiTheme="minorHAnsi" w:hAnsiTheme="minorHAnsi"/>
        </w:rPr>
        <w:t>estimated that there were over 4,000 active fintech start-ups around the world, and more than a dozen are valued at over $1 billion.</w:t>
      </w:r>
      <w:r w:rsidRPr="00EC6E87">
        <w:rPr>
          <w:rFonts w:asciiTheme="minorHAnsi" w:hAnsiTheme="minorHAnsi"/>
          <w:color w:val="050912"/>
        </w:rPr>
        <w:t xml:space="preserve">  </w:t>
      </w:r>
      <w:r w:rsidRPr="00EC6E87">
        <w:rPr>
          <w:rFonts w:asciiTheme="minorHAnsi" w:hAnsiTheme="minorHAnsi"/>
        </w:rPr>
        <w:t>McKinsey estimates that new entrants will increasingly battle for customers with incumbents over the next decade, with the top five banking businesses (i.e., consumer finance, mortgages, lending, retail payments, and wealth management) at risk of losing between 20 and 60 percent of their profits by 2025.</w:t>
      </w:r>
      <w:r w:rsidR="00171C18" w:rsidRPr="00EC6E87">
        <w:rPr>
          <w:rStyle w:val="FootnoteReference"/>
          <w:rFonts w:asciiTheme="minorHAnsi" w:hAnsiTheme="minorHAnsi"/>
        </w:rPr>
        <w:footnoteReference w:id="5"/>
      </w:r>
      <w:r w:rsidR="00171C18" w:rsidRPr="00EC6E87">
        <w:rPr>
          <w:rFonts w:asciiTheme="minorHAnsi" w:hAnsiTheme="minorHAnsi"/>
          <w:color w:val="050912"/>
        </w:rPr>
        <w:t xml:space="preserve">  </w:t>
      </w:r>
      <w:r w:rsidRPr="00EC6E87">
        <w:rPr>
          <w:rFonts w:asciiTheme="minorHAnsi" w:hAnsiTheme="minorHAnsi"/>
        </w:rPr>
        <w:t>Existing financial institutions are also embracing fintech, with some financial institutions choosing to form strategic partnerships with technology companies.</w:t>
      </w:r>
      <w:r w:rsidR="00171C18" w:rsidRPr="00EC6E87">
        <w:rPr>
          <w:rStyle w:val="FootnoteReference"/>
          <w:rFonts w:asciiTheme="minorHAnsi" w:hAnsiTheme="minorHAnsi"/>
        </w:rPr>
        <w:footnoteReference w:id="6"/>
      </w:r>
      <w:r w:rsidRPr="00EC6E87">
        <w:rPr>
          <w:rFonts w:asciiTheme="minorHAnsi" w:hAnsiTheme="minorHAnsi"/>
        </w:rPr>
        <w:t xml:space="preserve">     </w:t>
      </w:r>
    </w:p>
    <w:p w14:paraId="1030B035" w14:textId="77777777" w:rsidR="004643C1" w:rsidRPr="00EC6E87" w:rsidRDefault="004643C1" w:rsidP="00054C27">
      <w:pPr>
        <w:pStyle w:val="Default"/>
        <w:spacing w:before="100" w:beforeAutospacing="1"/>
        <w:rPr>
          <w:rFonts w:asciiTheme="minorHAnsi" w:hAnsiTheme="minorHAnsi"/>
        </w:rPr>
      </w:pPr>
      <w:r w:rsidRPr="00EC6E87">
        <w:rPr>
          <w:rFonts w:asciiTheme="minorHAnsi" w:hAnsiTheme="minorHAnsi"/>
        </w:rPr>
        <w:t>As noted above, o</w:t>
      </w:r>
      <w:r w:rsidR="00D74C1D" w:rsidRPr="00EC6E87">
        <w:rPr>
          <w:rFonts w:asciiTheme="minorHAnsi" w:hAnsiTheme="minorHAnsi"/>
        </w:rPr>
        <w:t xml:space="preserve">ne of the most noteworthy trends within fintech has been the emergence of </w:t>
      </w:r>
      <w:r w:rsidR="002C6775" w:rsidRPr="00EC6E87">
        <w:rPr>
          <w:rFonts w:asciiTheme="minorHAnsi" w:hAnsiTheme="minorHAnsi"/>
        </w:rPr>
        <w:t>insurtech</w:t>
      </w:r>
      <w:r w:rsidR="00D74C1D" w:rsidRPr="00EC6E87">
        <w:rPr>
          <w:rFonts w:asciiTheme="minorHAnsi" w:hAnsiTheme="minorHAnsi"/>
        </w:rPr>
        <w:t xml:space="preserve">.  </w:t>
      </w:r>
      <w:r w:rsidR="002C6775" w:rsidRPr="00EC6E87">
        <w:rPr>
          <w:rFonts w:asciiTheme="minorHAnsi" w:hAnsiTheme="minorHAnsi"/>
        </w:rPr>
        <w:t xml:space="preserve">Developments in technology are leading to new methods in service provision as well as greater opportunities for data collection and better risk and mitigation measures.  </w:t>
      </w:r>
      <w:r w:rsidR="007E56A2" w:rsidRPr="00EC6E87">
        <w:rPr>
          <w:rFonts w:asciiTheme="minorHAnsi" w:hAnsiTheme="minorHAnsi"/>
        </w:rPr>
        <w:t>Insurance claims can be processed through online platforms, and comparative sites permit product comparison of various insurance products.</w:t>
      </w:r>
      <w:r w:rsidR="007E56A2" w:rsidRPr="00EC6E87">
        <w:rPr>
          <w:rStyle w:val="FootnoteReference"/>
          <w:rFonts w:asciiTheme="minorHAnsi" w:hAnsiTheme="minorHAnsi"/>
        </w:rPr>
        <w:footnoteReference w:id="7"/>
      </w:r>
      <w:r w:rsidR="007E56A2" w:rsidRPr="00EC6E87">
        <w:rPr>
          <w:rFonts w:asciiTheme="minorHAnsi" w:hAnsiTheme="minorHAnsi"/>
        </w:rPr>
        <w:t xml:space="preserve">  </w:t>
      </w:r>
      <w:r w:rsidR="00D74C1D" w:rsidRPr="00EC6E87">
        <w:rPr>
          <w:rFonts w:asciiTheme="minorHAnsi" w:hAnsiTheme="minorHAnsi"/>
        </w:rPr>
        <w:t xml:space="preserve">The growth of insurtech businesses has been fueled by new digital capabilities and Internet of Things (IoT) devices that are reducing costs, changing systems and processes and enhancing the consumer experience. </w:t>
      </w:r>
      <w:r w:rsidR="00054C27" w:rsidRPr="00EC6E87">
        <w:rPr>
          <w:rFonts w:asciiTheme="minorHAnsi" w:hAnsiTheme="minorHAnsi"/>
        </w:rPr>
        <w:t xml:space="preserve"> </w:t>
      </w:r>
      <w:r w:rsidRPr="00EC6E87">
        <w:rPr>
          <w:rFonts w:asciiTheme="minorHAnsi" w:hAnsiTheme="minorHAnsi"/>
        </w:rPr>
        <w:t xml:space="preserve">Examples of connected devices include telematics devices in cars that transmit data about driving habits, connected water detection and security systems in the home, and wearable health-monitoring units such as home blood pressure monitors.  As the cost of sensors falls and global internet connectivity increases, the number of connected devices is likely to grow substantially over the next five years – all of which will could provide insurers with both direct access to and real-time data about policyholders, potentially disrupting insurance distribution channels. </w:t>
      </w:r>
      <w:r w:rsidRPr="00EC6E87">
        <w:rPr>
          <w:rStyle w:val="FootnoteReference"/>
          <w:rFonts w:asciiTheme="minorHAnsi" w:hAnsiTheme="minorHAnsi"/>
        </w:rPr>
        <w:footnoteReference w:id="8"/>
      </w:r>
      <w:r w:rsidR="00AB1FE9" w:rsidRPr="00EC6E87">
        <w:rPr>
          <w:rFonts w:asciiTheme="minorHAnsi" w:hAnsiTheme="minorHAnsi"/>
        </w:rPr>
        <w:t xml:space="preserve">  </w:t>
      </w:r>
      <w:r w:rsidRPr="00EC6E87">
        <w:rPr>
          <w:rFonts w:asciiTheme="minorHAnsi" w:hAnsiTheme="minorHAnsi"/>
        </w:rPr>
        <w:t xml:space="preserve"> </w:t>
      </w:r>
    </w:p>
    <w:p w14:paraId="36E4A48A" w14:textId="4F7F60FE" w:rsidR="006C34B6" w:rsidRPr="00EC6E87" w:rsidRDefault="00D74C1D" w:rsidP="005A0AAD">
      <w:pPr>
        <w:pStyle w:val="Default"/>
        <w:spacing w:before="100" w:beforeAutospacing="1"/>
        <w:rPr>
          <w:rFonts w:asciiTheme="minorHAnsi" w:eastAsia="Times New Roman" w:hAnsiTheme="minorHAnsi" w:cs="Times New Roman"/>
          <w:color w:val="1E1E1E"/>
        </w:rPr>
      </w:pPr>
      <w:r w:rsidRPr="00EC6E87">
        <w:rPr>
          <w:rFonts w:asciiTheme="minorHAnsi" w:eastAsia="Times New Roman" w:hAnsiTheme="minorHAnsi" w:cs="Times New Roman"/>
          <w:color w:val="1E1E1E"/>
        </w:rPr>
        <w:t xml:space="preserve">Steeped in tradition and burdened by outdated systems and paper-based operations, the insurtech space has emerged as one of the largest innovation ecosystems globally in 2016, with $4.74bn (470 deals) invested in the space since 2011, according to </w:t>
      </w:r>
      <w:hyperlink r:id="rId9" w:tgtFrame="_blank" w:history="1">
        <w:r w:rsidRPr="00482CF1">
          <w:rPr>
            <w:rFonts w:asciiTheme="minorHAnsi" w:eastAsia="Times New Roman" w:hAnsiTheme="minorHAnsi" w:cs="Times New Roman"/>
            <w:bCs/>
            <w:color w:val="auto"/>
          </w:rPr>
          <w:t>CB Insights</w:t>
        </w:r>
      </w:hyperlink>
      <w:r w:rsidRPr="00EC6E87">
        <w:rPr>
          <w:rFonts w:asciiTheme="minorHAnsi" w:eastAsia="Times New Roman" w:hAnsiTheme="minorHAnsi" w:cs="Times New Roman"/>
          <w:color w:val="auto"/>
        </w:rPr>
        <w:t>.</w:t>
      </w:r>
      <w:r w:rsidR="00171C18" w:rsidRPr="00EC6E87">
        <w:rPr>
          <w:rStyle w:val="FootnoteReference"/>
          <w:rFonts w:asciiTheme="minorHAnsi" w:eastAsia="Times New Roman" w:hAnsiTheme="minorHAnsi" w:cs="Times New Roman"/>
          <w:color w:val="auto"/>
        </w:rPr>
        <w:footnoteReference w:id="9"/>
      </w:r>
      <w:r w:rsidR="00171C18" w:rsidRPr="00EC6E87">
        <w:rPr>
          <w:rFonts w:asciiTheme="minorHAnsi" w:eastAsia="Times New Roman" w:hAnsiTheme="minorHAnsi" w:cs="Times New Roman"/>
          <w:color w:val="1E1E1E"/>
        </w:rPr>
        <w:t xml:space="preserve">  </w:t>
      </w:r>
      <w:r w:rsidR="00870B85" w:rsidRPr="00EC6E87">
        <w:rPr>
          <w:rFonts w:asciiTheme="minorHAnsi" w:eastAsia="Times New Roman" w:hAnsiTheme="minorHAnsi" w:cs="Times New Roman"/>
          <w:color w:val="1E1E1E"/>
        </w:rPr>
        <w:t xml:space="preserve">The key is </w:t>
      </w:r>
      <w:r w:rsidR="00B55220" w:rsidRPr="00EC6E87">
        <w:rPr>
          <w:rFonts w:asciiTheme="minorHAnsi" w:eastAsia="Times New Roman" w:hAnsiTheme="minorHAnsi" w:cs="Times New Roman"/>
          <w:color w:val="1E1E1E"/>
        </w:rPr>
        <w:t xml:space="preserve">insurtech provides the industry </w:t>
      </w:r>
      <w:r w:rsidR="00863D04" w:rsidRPr="00EC6E87">
        <w:rPr>
          <w:rFonts w:asciiTheme="minorHAnsi" w:eastAsia="Times New Roman" w:hAnsiTheme="minorHAnsi" w:cs="Times New Roman"/>
          <w:color w:val="1E1E1E"/>
        </w:rPr>
        <w:t xml:space="preserve">– including both established insurers and new insurtech start-ups - </w:t>
      </w:r>
      <w:r w:rsidR="00B55220" w:rsidRPr="00EC6E87">
        <w:rPr>
          <w:rFonts w:asciiTheme="minorHAnsi" w:eastAsia="Times New Roman" w:hAnsiTheme="minorHAnsi" w:cs="Times New Roman"/>
          <w:color w:val="1E1E1E"/>
        </w:rPr>
        <w:t>a means of accommodating the</w:t>
      </w:r>
      <w:r w:rsidR="00863D04" w:rsidRPr="00EC6E87">
        <w:rPr>
          <w:rFonts w:asciiTheme="minorHAnsi" w:eastAsia="Times New Roman" w:hAnsiTheme="minorHAnsi" w:cs="Times New Roman"/>
          <w:color w:val="1E1E1E"/>
        </w:rPr>
        <w:t xml:space="preserve"> modern consumer.  </w:t>
      </w:r>
      <w:r w:rsidR="00870B85" w:rsidRPr="00EC6E87">
        <w:rPr>
          <w:rFonts w:asciiTheme="minorHAnsi" w:eastAsia="Times New Roman" w:hAnsiTheme="minorHAnsi" w:cs="Times New Roman"/>
          <w:color w:val="1E1E1E"/>
        </w:rPr>
        <w:t xml:space="preserve">As Thomas McCourtie, </w:t>
      </w:r>
      <w:r w:rsidR="00863D04" w:rsidRPr="00EC6E87">
        <w:rPr>
          <w:rFonts w:asciiTheme="minorHAnsi" w:eastAsia="Times New Roman" w:hAnsiTheme="minorHAnsi" w:cs="Times New Roman"/>
          <w:color w:val="1E1E1E"/>
        </w:rPr>
        <w:t xml:space="preserve">financial analyst at Global Data has explained “The industry is looking to fall in line with other areas of commerce by providing consumers with quicker and more efficient services.  </w:t>
      </w:r>
      <w:r w:rsidR="00863D04" w:rsidRPr="00EC6E87">
        <w:rPr>
          <w:rFonts w:asciiTheme="minorHAnsi" w:hAnsiTheme="minorHAnsi"/>
          <w:lang w:val="en"/>
        </w:rPr>
        <w:t xml:space="preserve">Insurtech acts as the facilitator in developing new propositions which enable customers to obtain cover without the need to contact an advisor, and can be arranged remotely on a mobile device. Good examples of this include the many online or app-based peer-to-peer platforms emerging from </w:t>
      </w:r>
      <w:r w:rsidR="00863D04" w:rsidRPr="00EC6E87">
        <w:rPr>
          <w:rFonts w:asciiTheme="minorHAnsi" w:hAnsiTheme="minorHAnsi"/>
          <w:lang w:val="en"/>
        </w:rPr>
        <w:lastRenderedPageBreak/>
        <w:t>this space, which encourage users to group together and collectively share risk, often without the services of an underwriter.”</w:t>
      </w:r>
      <w:r w:rsidR="00863D04" w:rsidRPr="00EC6E87">
        <w:rPr>
          <w:rStyle w:val="FootnoteReference"/>
          <w:rFonts w:asciiTheme="minorHAnsi" w:hAnsiTheme="minorHAnsi"/>
          <w:lang w:val="en"/>
        </w:rPr>
        <w:footnoteReference w:id="10"/>
      </w:r>
      <w:r w:rsidR="00863D04" w:rsidRPr="00EC6E87">
        <w:rPr>
          <w:rFonts w:asciiTheme="minorHAnsi" w:hAnsiTheme="minorHAnsi"/>
          <w:lang w:val="en"/>
        </w:rPr>
        <w:t xml:space="preserve">  </w:t>
      </w:r>
      <w:r w:rsidR="007E56A2" w:rsidRPr="00EC6E87">
        <w:rPr>
          <w:rFonts w:asciiTheme="minorHAnsi" w:hAnsiTheme="minorHAnsi"/>
          <w:lang w:val="en"/>
        </w:rPr>
        <w:t xml:space="preserve">Insurtech companies vary widely from those providing new digital ecosystems to expedite compliance and verification processes, to brokerage companies offering P2P platforms for consumers to obtain insurance, to licensed providers using mobile technology to provide insurance services in developing markets.  </w:t>
      </w:r>
      <w:r w:rsidR="0028205A" w:rsidRPr="00EC6E87">
        <w:rPr>
          <w:rFonts w:asciiTheme="minorHAnsi" w:eastAsia="Times New Roman" w:hAnsiTheme="minorHAnsi" w:cs="Times New Roman"/>
          <w:color w:val="1E1E1E"/>
        </w:rPr>
        <w:t>But major challenges persist that are preventing even mor</w:t>
      </w:r>
      <w:r w:rsidR="00192A68" w:rsidRPr="00EC6E87">
        <w:rPr>
          <w:rFonts w:asciiTheme="minorHAnsi" w:eastAsia="Times New Roman" w:hAnsiTheme="minorHAnsi" w:cs="Times New Roman"/>
          <w:color w:val="1E1E1E"/>
        </w:rPr>
        <w:t xml:space="preserve">e explosive growth of insurtech, </w:t>
      </w:r>
      <w:r w:rsidR="0028205A" w:rsidRPr="00EC6E87">
        <w:rPr>
          <w:rFonts w:asciiTheme="minorHAnsi" w:eastAsia="Times New Roman" w:hAnsiTheme="minorHAnsi" w:cs="Times New Roman"/>
          <w:color w:val="1E1E1E"/>
        </w:rPr>
        <w:t>i</w:t>
      </w:r>
      <w:r w:rsidR="00BC4109" w:rsidRPr="00EC6E87">
        <w:rPr>
          <w:rFonts w:asciiTheme="minorHAnsi" w:eastAsia="Times New Roman" w:hAnsiTheme="minorHAnsi" w:cs="Times New Roman"/>
          <w:color w:val="1E1E1E"/>
        </w:rPr>
        <w:t xml:space="preserve">ncluding high barriers to entry, gaps in regulatory supervision in other markets, </w:t>
      </w:r>
      <w:r w:rsidR="00FF2F82">
        <w:rPr>
          <w:rFonts w:asciiTheme="minorHAnsi" w:eastAsia="Times New Roman" w:hAnsiTheme="minorHAnsi" w:cs="Times New Roman"/>
          <w:color w:val="1E1E1E"/>
        </w:rPr>
        <w:t xml:space="preserve">and </w:t>
      </w:r>
      <w:r w:rsidR="0028205A" w:rsidRPr="00EC6E87">
        <w:rPr>
          <w:rFonts w:asciiTheme="minorHAnsi" w:eastAsia="Times New Roman" w:hAnsiTheme="minorHAnsi" w:cs="Times New Roman"/>
          <w:color w:val="1E1E1E"/>
        </w:rPr>
        <w:t>complicated regulator</w:t>
      </w:r>
      <w:r w:rsidR="00192A68" w:rsidRPr="00EC6E87">
        <w:rPr>
          <w:rFonts w:asciiTheme="minorHAnsi" w:eastAsia="Times New Roman" w:hAnsiTheme="minorHAnsi" w:cs="Times New Roman"/>
          <w:color w:val="1E1E1E"/>
        </w:rPr>
        <w:t>y structures in the United States</w:t>
      </w:r>
      <w:r w:rsidR="00FF2F82">
        <w:rPr>
          <w:rFonts w:asciiTheme="minorHAnsi" w:eastAsia="Times New Roman" w:hAnsiTheme="minorHAnsi" w:cs="Times New Roman"/>
          <w:color w:val="1E1E1E"/>
        </w:rPr>
        <w:t xml:space="preserve"> and other parts of the world</w:t>
      </w:r>
      <w:r w:rsidR="0028205A" w:rsidRPr="00EC6E87">
        <w:rPr>
          <w:rFonts w:asciiTheme="minorHAnsi" w:eastAsia="Times New Roman" w:hAnsiTheme="minorHAnsi" w:cs="Times New Roman"/>
          <w:color w:val="1E1E1E"/>
        </w:rPr>
        <w:t xml:space="preserve">.  </w:t>
      </w:r>
      <w:r w:rsidR="00FF2F82" w:rsidRPr="00482CF1">
        <w:rPr>
          <w:rFonts w:asciiTheme="minorHAnsi" w:eastAsia="Times New Roman" w:hAnsiTheme="minorHAnsi" w:cs="Times New Roman"/>
          <w:color w:val="1E1E1E"/>
        </w:rPr>
        <w:t xml:space="preserve">For example, </w:t>
      </w:r>
      <w:r w:rsidR="00FF2F82" w:rsidRPr="00482CF1">
        <w:rPr>
          <w:rFonts w:asciiTheme="minorHAnsi" w:hAnsiTheme="minorHAnsi"/>
        </w:rPr>
        <w:t xml:space="preserve">regulatory frameworks were often designed for older business models </w:t>
      </w:r>
      <w:r w:rsidR="00A97815" w:rsidRPr="00482CF1">
        <w:rPr>
          <w:rFonts w:asciiTheme="minorHAnsi" w:hAnsiTheme="minorHAnsi"/>
        </w:rPr>
        <w:t>and are slow to adopt change.  F</w:t>
      </w:r>
      <w:r w:rsidR="00FF2F82" w:rsidRPr="00482CF1">
        <w:rPr>
          <w:rFonts w:asciiTheme="minorHAnsi" w:hAnsiTheme="minorHAnsi"/>
        </w:rPr>
        <w:t xml:space="preserve">irms operating internationally frequently contend with restrictions on where they can store and transmit data and with regulations designed to protect domestic incumbents. </w:t>
      </w:r>
      <w:r w:rsidR="00A97815" w:rsidRPr="00482CF1">
        <w:rPr>
          <w:rFonts w:asciiTheme="minorHAnsi" w:hAnsiTheme="minorHAnsi"/>
        </w:rPr>
        <w:t xml:space="preserve"> In the United States, where insurance is regulated at the state level, requirements can differ state to state making the nationwide development and marketing of a new insurance product a tedious and expensive process.  </w:t>
      </w:r>
      <w:r w:rsidR="00FF2F82" w:rsidRPr="00482CF1">
        <w:rPr>
          <w:rFonts w:asciiTheme="minorHAnsi" w:hAnsiTheme="minorHAnsi"/>
        </w:rPr>
        <w:t>The broader financial-services sector also continues to face a number of evolving security threats, from data breaches to large-scale theft and fraud</w:t>
      </w:r>
      <w:r w:rsidR="00FF2F82" w:rsidRPr="00FF2F82">
        <w:rPr>
          <w:rFonts w:asciiTheme="minorHAnsi" w:hAnsiTheme="minorHAnsi"/>
        </w:rPr>
        <w:t>.</w:t>
      </w:r>
      <w:r w:rsidR="00A97815">
        <w:rPr>
          <w:rStyle w:val="FootnoteReference"/>
          <w:rFonts w:asciiTheme="minorHAnsi" w:hAnsiTheme="minorHAnsi"/>
        </w:rPr>
        <w:footnoteReference w:id="11"/>
      </w:r>
      <w:r w:rsidR="00FF2F82" w:rsidRPr="00FF2F82">
        <w:rPr>
          <w:rFonts w:asciiTheme="minorHAnsi" w:hAnsiTheme="minorHAnsi"/>
        </w:rPr>
        <w:t xml:space="preserve"> </w:t>
      </w:r>
      <w:r w:rsidR="0028205A" w:rsidRPr="00EC6E87">
        <w:rPr>
          <w:rFonts w:asciiTheme="minorHAnsi" w:eastAsia="Times New Roman" w:hAnsiTheme="minorHAnsi" w:cs="Times New Roman"/>
          <w:color w:val="1E1E1E"/>
        </w:rPr>
        <w:t xml:space="preserve">Fortunately, an opportunity exists </w:t>
      </w:r>
      <w:r w:rsidR="00192A68" w:rsidRPr="00EC6E87">
        <w:rPr>
          <w:rFonts w:asciiTheme="minorHAnsi" w:eastAsia="Times New Roman" w:hAnsiTheme="minorHAnsi" w:cs="Times New Roman"/>
          <w:color w:val="1E1E1E"/>
        </w:rPr>
        <w:t xml:space="preserve">in the United States </w:t>
      </w:r>
      <w:r w:rsidR="0028205A" w:rsidRPr="00EC6E87">
        <w:rPr>
          <w:rFonts w:asciiTheme="minorHAnsi" w:eastAsia="Times New Roman" w:hAnsiTheme="minorHAnsi" w:cs="Times New Roman"/>
          <w:color w:val="1E1E1E"/>
        </w:rPr>
        <w:t xml:space="preserve">for both business and government at the federal and state level to innovate in a new and productive way.  </w:t>
      </w:r>
    </w:p>
    <w:p w14:paraId="33A9A9A1" w14:textId="77777777" w:rsidR="00076C2D" w:rsidRPr="00EC6E87" w:rsidRDefault="00076C2D" w:rsidP="00076C2D">
      <w:pPr>
        <w:pStyle w:val="Default"/>
        <w:spacing w:before="100" w:beforeAutospacing="1"/>
        <w:jc w:val="center"/>
        <w:rPr>
          <w:rFonts w:asciiTheme="minorHAnsi" w:eastAsia="Times New Roman" w:hAnsiTheme="minorHAnsi" w:cs="Arial"/>
          <w:b/>
          <w:color w:val="333333"/>
          <w:lang w:val="en"/>
        </w:rPr>
      </w:pPr>
      <w:r w:rsidRPr="00EC6E87">
        <w:rPr>
          <w:rFonts w:asciiTheme="minorHAnsi" w:eastAsia="Times New Roman" w:hAnsiTheme="minorHAnsi" w:cs="Times New Roman"/>
          <w:b/>
          <w:color w:val="1E1E1E"/>
        </w:rPr>
        <w:t xml:space="preserve">U.S. </w:t>
      </w:r>
      <w:r w:rsidR="00C17923" w:rsidRPr="00EC6E87">
        <w:rPr>
          <w:rFonts w:asciiTheme="minorHAnsi" w:eastAsia="Times New Roman" w:hAnsiTheme="minorHAnsi" w:cs="Times New Roman"/>
          <w:b/>
          <w:color w:val="1E1E1E"/>
        </w:rPr>
        <w:t>INSURTECH COMPANIES AT A GLANCE</w:t>
      </w:r>
    </w:p>
    <w:p w14:paraId="0EDD560A" w14:textId="77777777" w:rsidR="005A0AAD" w:rsidRPr="00EC6E87" w:rsidRDefault="005A0AAD" w:rsidP="00076C2D">
      <w:pPr>
        <w:rPr>
          <w:rFonts w:eastAsia="Times New Roman" w:cs="Arial"/>
          <w:color w:val="333333"/>
          <w:sz w:val="24"/>
          <w:szCs w:val="24"/>
          <w:lang w:val="en"/>
        </w:rPr>
      </w:pPr>
      <w:r w:rsidRPr="00EC6E87">
        <w:rPr>
          <w:rFonts w:eastAsia="Times New Roman" w:cs="Arial"/>
          <w:noProof/>
          <w:color w:val="333333"/>
          <w:sz w:val="24"/>
          <w:szCs w:val="24"/>
        </w:rPr>
        <w:lastRenderedPageBreak/>
        <mc:AlternateContent>
          <mc:Choice Requires="wps">
            <w:drawing>
              <wp:anchor distT="45720" distB="45720" distL="114300" distR="114300" simplePos="0" relativeHeight="251661312" behindDoc="0" locked="0" layoutInCell="1" allowOverlap="1" wp14:anchorId="015672AF" wp14:editId="3CD16F0D">
                <wp:simplePos x="0" y="0"/>
                <wp:positionH relativeFrom="margin">
                  <wp:align>right</wp:align>
                </wp:positionH>
                <wp:positionV relativeFrom="paragraph">
                  <wp:posOffset>314325</wp:posOffset>
                </wp:positionV>
                <wp:extent cx="5876925" cy="36290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29025"/>
                        </a:xfrm>
                        <a:prstGeom prst="rect">
                          <a:avLst/>
                        </a:prstGeom>
                        <a:solidFill>
                          <a:srgbClr val="FFFFFF"/>
                        </a:solidFill>
                        <a:ln w="9525">
                          <a:solidFill>
                            <a:srgbClr val="000000"/>
                          </a:solidFill>
                          <a:miter lim="800000"/>
                          <a:headEnd/>
                          <a:tailEnd/>
                        </a:ln>
                      </wps:spPr>
                      <wps:txbx>
                        <w:txbxContent>
                          <w:p w14:paraId="53FD049B" w14:textId="77777777" w:rsidR="005A0AAD" w:rsidRPr="005A0AAD" w:rsidRDefault="005A0AAD" w:rsidP="005A0AAD">
                            <w:pPr>
                              <w:rPr>
                                <w:rFonts w:eastAsia="Times New Roman" w:cs="Arial"/>
                                <w:b/>
                                <w:color w:val="333333"/>
                                <w:sz w:val="32"/>
                                <w:szCs w:val="32"/>
                                <w:lang w:val="en"/>
                              </w:rPr>
                            </w:pPr>
                            <w:r w:rsidRPr="005A0AAD">
                              <w:rPr>
                                <w:rFonts w:eastAsia="Times New Roman" w:cs="Arial"/>
                                <w:b/>
                                <w:color w:val="333333"/>
                                <w:sz w:val="32"/>
                                <w:szCs w:val="32"/>
                                <w:lang w:val="en"/>
                              </w:rPr>
                              <w:t>GaPro</w:t>
                            </w:r>
                          </w:p>
                          <w:p w14:paraId="2CA69BDB" w14:textId="77777777" w:rsidR="00737B57" w:rsidRPr="005C710D" w:rsidRDefault="00737B57" w:rsidP="00737B57">
                            <w:pPr>
                              <w:pStyle w:val="ListParagraph"/>
                              <w:numPr>
                                <w:ilvl w:val="0"/>
                                <w:numId w:val="2"/>
                              </w:numPr>
                              <w:rPr>
                                <w:sz w:val="24"/>
                                <w:szCs w:val="24"/>
                              </w:rPr>
                            </w:pPr>
                            <w:r>
                              <w:rPr>
                                <w:rFonts w:eastAsia="Times New Roman" w:cs="Arial"/>
                                <w:color w:val="333333"/>
                                <w:sz w:val="24"/>
                                <w:szCs w:val="24"/>
                                <w:lang w:val="en"/>
                              </w:rPr>
                              <w:t>F</w:t>
                            </w:r>
                            <w:r w:rsidRPr="005C710D">
                              <w:rPr>
                                <w:rFonts w:eastAsia="Times New Roman" w:cs="Arial"/>
                                <w:color w:val="333333"/>
                                <w:sz w:val="24"/>
                                <w:szCs w:val="24"/>
                                <w:lang w:val="en"/>
                              </w:rPr>
                              <w:t xml:space="preserve">irst industry-wide disruptive digital ecosystem designed for the compliance and verification process.   </w:t>
                            </w:r>
                          </w:p>
                          <w:p w14:paraId="0EB5E978" w14:textId="77777777" w:rsidR="00737B57" w:rsidRPr="005C710D" w:rsidRDefault="00737B57" w:rsidP="00737B57">
                            <w:pPr>
                              <w:pStyle w:val="ListParagraph"/>
                              <w:numPr>
                                <w:ilvl w:val="0"/>
                                <w:numId w:val="2"/>
                              </w:numPr>
                              <w:rPr>
                                <w:sz w:val="24"/>
                                <w:szCs w:val="24"/>
                              </w:rPr>
                            </w:pPr>
                            <w:r w:rsidRPr="005C710D">
                              <w:rPr>
                                <w:rFonts w:eastAsia="Times New Roman" w:cs="Arial"/>
                                <w:color w:val="333333"/>
                                <w:sz w:val="24"/>
                                <w:szCs w:val="24"/>
                                <w:lang w:val="en"/>
                              </w:rPr>
                              <w:t xml:space="preserve">Based in Southfield, Michigan </w:t>
                            </w:r>
                            <w:r>
                              <w:rPr>
                                <w:rFonts w:eastAsia="Times New Roman" w:cs="Arial"/>
                                <w:color w:val="333333"/>
                                <w:sz w:val="24"/>
                                <w:szCs w:val="24"/>
                                <w:lang w:val="en"/>
                              </w:rPr>
                              <w:t xml:space="preserve">GAPro’s platform improves speed of data sharing, automating compliance checking and </w:t>
                            </w:r>
                            <w:r w:rsidRPr="005C710D">
                              <w:rPr>
                                <w:rFonts w:eastAsia="Times New Roman" w:cs="Arial"/>
                                <w:color w:val="333333"/>
                                <w:sz w:val="24"/>
                                <w:szCs w:val="24"/>
                                <w:lang w:val="en"/>
                              </w:rPr>
                              <w:t xml:space="preserve">efficiency.  </w:t>
                            </w:r>
                          </w:p>
                          <w:p w14:paraId="73CA49F4" w14:textId="77777777" w:rsidR="00737B57" w:rsidRDefault="00737B57" w:rsidP="00737B57">
                            <w:pPr>
                              <w:pStyle w:val="ListParagraph"/>
                              <w:numPr>
                                <w:ilvl w:val="0"/>
                                <w:numId w:val="2"/>
                              </w:numPr>
                              <w:rPr>
                                <w:sz w:val="24"/>
                                <w:szCs w:val="24"/>
                              </w:rPr>
                            </w:pPr>
                            <w:r>
                              <w:rPr>
                                <w:sz w:val="24"/>
                                <w:szCs w:val="24"/>
                              </w:rPr>
                              <w:t xml:space="preserve">GAPro normalizes insurance data, </w:t>
                            </w:r>
                            <w:r w:rsidRPr="005C710D">
                              <w:rPr>
                                <w:sz w:val="24"/>
                                <w:szCs w:val="24"/>
                              </w:rPr>
                              <w:t>simpl</w:t>
                            </w:r>
                            <w:r>
                              <w:rPr>
                                <w:sz w:val="24"/>
                                <w:szCs w:val="24"/>
                              </w:rPr>
                              <w:t xml:space="preserve">ifying </w:t>
                            </w:r>
                            <w:r w:rsidRPr="005C710D">
                              <w:rPr>
                                <w:sz w:val="24"/>
                                <w:szCs w:val="24"/>
                              </w:rPr>
                              <w:t>digi</w:t>
                            </w:r>
                            <w:r>
                              <w:rPr>
                                <w:sz w:val="24"/>
                                <w:szCs w:val="24"/>
                              </w:rPr>
                              <w:t xml:space="preserve">tal connection and enabling automated compliance checking. Self-service </w:t>
                            </w:r>
                            <w:r w:rsidRPr="005C710D">
                              <w:rPr>
                                <w:sz w:val="24"/>
                                <w:szCs w:val="24"/>
                              </w:rPr>
                              <w:t>verification of insurance</w:t>
                            </w:r>
                            <w:r>
                              <w:rPr>
                                <w:sz w:val="24"/>
                                <w:szCs w:val="24"/>
                              </w:rPr>
                              <w:t xml:space="preserve"> tells everyone </w:t>
                            </w:r>
                            <w:r w:rsidRPr="005C710D">
                              <w:rPr>
                                <w:sz w:val="24"/>
                                <w:szCs w:val="24"/>
                              </w:rPr>
                              <w:t xml:space="preserve">that </w:t>
                            </w:r>
                            <w:r>
                              <w:rPr>
                                <w:sz w:val="24"/>
                                <w:szCs w:val="24"/>
                              </w:rPr>
                              <w:t xml:space="preserve">coverage </w:t>
                            </w:r>
                            <w:r w:rsidRPr="005C710D">
                              <w:rPr>
                                <w:sz w:val="24"/>
                                <w:szCs w:val="24"/>
                              </w:rPr>
                              <w:t>is in place</w:t>
                            </w:r>
                            <w:r>
                              <w:rPr>
                                <w:sz w:val="24"/>
                                <w:szCs w:val="24"/>
                              </w:rPr>
                              <w:t xml:space="preserve"> and meets their needs</w:t>
                            </w:r>
                            <w:r w:rsidRPr="005C710D">
                              <w:rPr>
                                <w:sz w:val="24"/>
                                <w:szCs w:val="24"/>
                              </w:rPr>
                              <w:t xml:space="preserve"> </w:t>
                            </w:r>
                            <w:r>
                              <w:rPr>
                                <w:sz w:val="24"/>
                                <w:szCs w:val="24"/>
                              </w:rPr>
                              <w:t xml:space="preserve">starting when they need it and moving forward </w:t>
                            </w:r>
                            <w:r w:rsidRPr="005C710D">
                              <w:rPr>
                                <w:sz w:val="24"/>
                                <w:szCs w:val="24"/>
                              </w:rPr>
                              <w:t xml:space="preserve">-- not </w:t>
                            </w:r>
                            <w:r>
                              <w:rPr>
                                <w:sz w:val="24"/>
                                <w:szCs w:val="24"/>
                              </w:rPr>
                              <w:t>as of a point in time</w:t>
                            </w:r>
                            <w:r w:rsidRPr="005C710D">
                              <w:rPr>
                                <w:sz w:val="24"/>
                                <w:szCs w:val="24"/>
                              </w:rPr>
                              <w:t xml:space="preserve"> as indicated on a paper certificate. </w:t>
                            </w:r>
                          </w:p>
                          <w:p w14:paraId="3283F9AC" w14:textId="77777777" w:rsidR="00737B57" w:rsidRDefault="00737B57" w:rsidP="00737B57">
                            <w:pPr>
                              <w:pStyle w:val="ListParagraph"/>
                              <w:numPr>
                                <w:ilvl w:val="0"/>
                                <w:numId w:val="2"/>
                              </w:numPr>
                              <w:rPr>
                                <w:sz w:val="24"/>
                                <w:szCs w:val="24"/>
                              </w:rPr>
                            </w:pPr>
                            <w:r>
                              <w:rPr>
                                <w:sz w:val="24"/>
                                <w:szCs w:val="24"/>
                              </w:rPr>
                              <w:t>Detecting potential non-compliance, GAPro notifies stakeholders, enabling exception processing instead of manual review of all certificates.</w:t>
                            </w:r>
                          </w:p>
                          <w:p w14:paraId="0C0E01D8" w14:textId="77777777" w:rsidR="00737B57" w:rsidRPr="00D30184" w:rsidRDefault="00737B57" w:rsidP="00737B57">
                            <w:pPr>
                              <w:pStyle w:val="ListParagraph"/>
                              <w:numPr>
                                <w:ilvl w:val="0"/>
                                <w:numId w:val="2"/>
                              </w:numPr>
                              <w:rPr>
                                <w:sz w:val="24"/>
                                <w:szCs w:val="24"/>
                              </w:rPr>
                            </w:pPr>
                            <w:r w:rsidRPr="005C710D">
                              <w:rPr>
                                <w:sz w:val="24"/>
                                <w:szCs w:val="24"/>
                              </w:rPr>
                              <w:t>The change will take out a whole layer of cost while making the data far more valuable</w:t>
                            </w:r>
                            <w:r>
                              <w:rPr>
                                <w:sz w:val="24"/>
                                <w:szCs w:val="24"/>
                              </w:rPr>
                              <w:t xml:space="preserve"> and </w:t>
                            </w:r>
                            <w:r w:rsidRPr="00D30184">
                              <w:rPr>
                                <w:sz w:val="24"/>
                                <w:szCs w:val="24"/>
                              </w:rPr>
                              <w:t>enable a world where you just look at an app and get an up-to-the moment result.</w:t>
                            </w:r>
                          </w:p>
                          <w:p w14:paraId="10698474" w14:textId="77777777" w:rsidR="00737B57" w:rsidRDefault="00737B57" w:rsidP="00737B57">
                            <w:pPr>
                              <w:pStyle w:val="ListParagraph"/>
                              <w:numPr>
                                <w:ilvl w:val="0"/>
                                <w:numId w:val="2"/>
                              </w:numPr>
                              <w:rPr>
                                <w:sz w:val="24"/>
                                <w:szCs w:val="24"/>
                              </w:rPr>
                            </w:pPr>
                            <w:r w:rsidRPr="001D29BA">
                              <w:rPr>
                                <w:sz w:val="24"/>
                                <w:szCs w:val="24"/>
                              </w:rPr>
                              <w:t>http://gaprosystem.com/</w:t>
                            </w:r>
                          </w:p>
                          <w:p w14:paraId="3B0B0678" w14:textId="77777777" w:rsidR="005A0AAD" w:rsidRDefault="00D30184">
                            <w:r>
                              <w:t>Source:  Insurance Thought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5672AF" id="_x0000_t202" coordsize="21600,21600" o:spt="202" path="m,l,21600r21600,l21600,xe">
                <v:stroke joinstyle="miter"/>
                <v:path gradientshapeok="t" o:connecttype="rect"/>
              </v:shapetype>
              <v:shape id="_x0000_s1027" type="#_x0000_t202" style="position:absolute;margin-left:411.55pt;margin-top:24.75pt;width:462.75pt;height:28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">
                <v:textbox>
                  <w:txbxContent>
                    <w:p w14:paraId="53FD049B" w14:textId="77777777" w:rsidR="005A0AAD" w:rsidRPr="005A0AAD" w:rsidRDefault="005A0AAD" w:rsidP="005A0AAD">
                      <w:pPr>
                        <w:rPr>
                          <w:rFonts w:eastAsia="Times New Roman" w:cs="Arial"/>
                          <w:b/>
                          <w:color w:val="333333"/>
                          <w:sz w:val="32"/>
                          <w:szCs w:val="32"/>
                          <w:lang w:val="en"/>
                        </w:rPr>
                      </w:pPr>
                      <w:r w:rsidRPr="005A0AAD">
                        <w:rPr>
                          <w:rFonts w:eastAsia="Times New Roman" w:cs="Arial"/>
                          <w:b/>
                          <w:color w:val="333333"/>
                          <w:sz w:val="32"/>
                          <w:szCs w:val="32"/>
                          <w:lang w:val="en"/>
                        </w:rPr>
                        <w:t>GaPro</w:t>
                      </w:r>
                    </w:p>
                    <w:p w14:paraId="2CA69BDB" w14:textId="77777777" w:rsidR="00737B57" w:rsidRPr="005C710D" w:rsidRDefault="00737B57" w:rsidP="00737B57">
                      <w:pPr>
                        <w:pStyle w:val="ListParagraph"/>
                        <w:numPr>
                          <w:ilvl w:val="0"/>
                          <w:numId w:val="2"/>
                        </w:numPr>
                        <w:rPr>
                          <w:sz w:val="24"/>
                          <w:szCs w:val="24"/>
                        </w:rPr>
                      </w:pPr>
                      <w:r>
                        <w:rPr>
                          <w:rFonts w:eastAsia="Times New Roman" w:cs="Arial"/>
                          <w:color w:val="333333"/>
                          <w:sz w:val="24"/>
                          <w:szCs w:val="24"/>
                          <w:lang w:val="en"/>
                        </w:rPr>
                        <w:t>F</w:t>
                      </w:r>
                      <w:r w:rsidRPr="005C710D">
                        <w:rPr>
                          <w:rFonts w:eastAsia="Times New Roman" w:cs="Arial"/>
                          <w:color w:val="333333"/>
                          <w:sz w:val="24"/>
                          <w:szCs w:val="24"/>
                          <w:lang w:val="en"/>
                        </w:rPr>
                        <w:t xml:space="preserve">irst industry-wide disruptive digital ecosystem designed for the compliance and verification process.   </w:t>
                      </w:r>
                    </w:p>
                    <w:p w14:paraId="0EB5E978" w14:textId="77777777" w:rsidR="00737B57" w:rsidRPr="005C710D" w:rsidRDefault="00737B57" w:rsidP="00737B57">
                      <w:pPr>
                        <w:pStyle w:val="ListParagraph"/>
                        <w:numPr>
                          <w:ilvl w:val="0"/>
                          <w:numId w:val="2"/>
                        </w:numPr>
                        <w:rPr>
                          <w:sz w:val="24"/>
                          <w:szCs w:val="24"/>
                        </w:rPr>
                      </w:pPr>
                      <w:r w:rsidRPr="005C710D">
                        <w:rPr>
                          <w:rFonts w:eastAsia="Times New Roman" w:cs="Arial"/>
                          <w:color w:val="333333"/>
                          <w:sz w:val="24"/>
                          <w:szCs w:val="24"/>
                          <w:lang w:val="en"/>
                        </w:rPr>
                        <w:t xml:space="preserve">Based in Southfield, Michigan </w:t>
                      </w:r>
                      <w:r>
                        <w:rPr>
                          <w:rFonts w:eastAsia="Times New Roman" w:cs="Arial"/>
                          <w:color w:val="333333"/>
                          <w:sz w:val="24"/>
                          <w:szCs w:val="24"/>
                          <w:lang w:val="en"/>
                        </w:rPr>
                        <w:t xml:space="preserve">GAPro’s platform improves speed of data sharing, automating compliance checking and </w:t>
                      </w:r>
                      <w:r w:rsidRPr="005C710D">
                        <w:rPr>
                          <w:rFonts w:eastAsia="Times New Roman" w:cs="Arial"/>
                          <w:color w:val="333333"/>
                          <w:sz w:val="24"/>
                          <w:szCs w:val="24"/>
                          <w:lang w:val="en"/>
                        </w:rPr>
                        <w:t xml:space="preserve">efficiency.  </w:t>
                      </w:r>
                    </w:p>
                    <w:p w14:paraId="73CA49F4" w14:textId="77777777" w:rsidR="00737B57" w:rsidRDefault="00737B57" w:rsidP="00737B57">
                      <w:pPr>
                        <w:pStyle w:val="ListParagraph"/>
                        <w:numPr>
                          <w:ilvl w:val="0"/>
                          <w:numId w:val="2"/>
                        </w:numPr>
                        <w:rPr>
                          <w:sz w:val="24"/>
                          <w:szCs w:val="24"/>
                        </w:rPr>
                      </w:pPr>
                      <w:r>
                        <w:rPr>
                          <w:sz w:val="24"/>
                          <w:szCs w:val="24"/>
                        </w:rPr>
                        <w:t xml:space="preserve">GAPro normalizes insurance data, </w:t>
                      </w:r>
                      <w:r w:rsidRPr="005C710D">
                        <w:rPr>
                          <w:sz w:val="24"/>
                          <w:szCs w:val="24"/>
                        </w:rPr>
                        <w:t>simpl</w:t>
                      </w:r>
                      <w:r>
                        <w:rPr>
                          <w:sz w:val="24"/>
                          <w:szCs w:val="24"/>
                        </w:rPr>
                        <w:t xml:space="preserve">ifying </w:t>
                      </w:r>
                      <w:r w:rsidRPr="005C710D">
                        <w:rPr>
                          <w:sz w:val="24"/>
                          <w:szCs w:val="24"/>
                        </w:rPr>
                        <w:t>digi</w:t>
                      </w:r>
                      <w:r>
                        <w:rPr>
                          <w:sz w:val="24"/>
                          <w:szCs w:val="24"/>
                        </w:rPr>
                        <w:t xml:space="preserve">tal connection and enabling automated compliance checking. Self-service </w:t>
                      </w:r>
                      <w:r w:rsidRPr="005C710D">
                        <w:rPr>
                          <w:sz w:val="24"/>
                          <w:szCs w:val="24"/>
                        </w:rPr>
                        <w:t>verification of insurance</w:t>
                      </w:r>
                      <w:r>
                        <w:rPr>
                          <w:sz w:val="24"/>
                          <w:szCs w:val="24"/>
                        </w:rPr>
                        <w:t xml:space="preserve"> tells everyone </w:t>
                      </w:r>
                      <w:r w:rsidRPr="005C710D">
                        <w:rPr>
                          <w:sz w:val="24"/>
                          <w:szCs w:val="24"/>
                        </w:rPr>
                        <w:t xml:space="preserve">that </w:t>
                      </w:r>
                      <w:r>
                        <w:rPr>
                          <w:sz w:val="24"/>
                          <w:szCs w:val="24"/>
                        </w:rPr>
                        <w:t xml:space="preserve">coverage </w:t>
                      </w:r>
                      <w:r w:rsidRPr="005C710D">
                        <w:rPr>
                          <w:sz w:val="24"/>
                          <w:szCs w:val="24"/>
                        </w:rPr>
                        <w:t>is in place</w:t>
                      </w:r>
                      <w:r>
                        <w:rPr>
                          <w:sz w:val="24"/>
                          <w:szCs w:val="24"/>
                        </w:rPr>
                        <w:t xml:space="preserve"> and meets their needs</w:t>
                      </w:r>
                      <w:r w:rsidRPr="005C710D">
                        <w:rPr>
                          <w:sz w:val="24"/>
                          <w:szCs w:val="24"/>
                        </w:rPr>
                        <w:t xml:space="preserve"> </w:t>
                      </w:r>
                      <w:r>
                        <w:rPr>
                          <w:sz w:val="24"/>
                          <w:szCs w:val="24"/>
                        </w:rPr>
                        <w:t xml:space="preserve">starting when they need it and moving forward </w:t>
                      </w:r>
                      <w:r w:rsidRPr="005C710D">
                        <w:rPr>
                          <w:sz w:val="24"/>
                          <w:szCs w:val="24"/>
                        </w:rPr>
                        <w:t xml:space="preserve">-- not </w:t>
                      </w:r>
                      <w:r>
                        <w:rPr>
                          <w:sz w:val="24"/>
                          <w:szCs w:val="24"/>
                        </w:rPr>
                        <w:t>as of a point in time</w:t>
                      </w:r>
                      <w:r w:rsidRPr="005C710D">
                        <w:rPr>
                          <w:sz w:val="24"/>
                          <w:szCs w:val="24"/>
                        </w:rPr>
                        <w:t xml:space="preserve"> as indicated on a paper certificate. </w:t>
                      </w:r>
                    </w:p>
                    <w:p w14:paraId="3283F9AC" w14:textId="77777777" w:rsidR="00737B57" w:rsidRDefault="00737B57" w:rsidP="00737B57">
                      <w:pPr>
                        <w:pStyle w:val="ListParagraph"/>
                        <w:numPr>
                          <w:ilvl w:val="0"/>
                          <w:numId w:val="2"/>
                        </w:numPr>
                        <w:rPr>
                          <w:sz w:val="24"/>
                          <w:szCs w:val="24"/>
                        </w:rPr>
                      </w:pPr>
                      <w:r>
                        <w:rPr>
                          <w:sz w:val="24"/>
                          <w:szCs w:val="24"/>
                        </w:rPr>
                        <w:t>Detecting potential non-compliance, GAPro notifies stakeholders, enabling exception processing instead of manual review of all certificates.</w:t>
                      </w:r>
                    </w:p>
                    <w:p w14:paraId="0C0E01D8" w14:textId="77777777" w:rsidR="00737B57" w:rsidRPr="00D30184" w:rsidRDefault="00737B57" w:rsidP="00737B57">
                      <w:pPr>
                        <w:pStyle w:val="ListParagraph"/>
                        <w:numPr>
                          <w:ilvl w:val="0"/>
                          <w:numId w:val="2"/>
                        </w:numPr>
                        <w:rPr>
                          <w:sz w:val="24"/>
                          <w:szCs w:val="24"/>
                        </w:rPr>
                      </w:pPr>
                      <w:r w:rsidRPr="005C710D">
                        <w:rPr>
                          <w:sz w:val="24"/>
                          <w:szCs w:val="24"/>
                        </w:rPr>
                        <w:t>The change will take out a whole layer of cost while making the data far more valuable</w:t>
                      </w:r>
                      <w:r>
                        <w:rPr>
                          <w:sz w:val="24"/>
                          <w:szCs w:val="24"/>
                        </w:rPr>
                        <w:t xml:space="preserve"> and </w:t>
                      </w:r>
                      <w:r w:rsidRPr="00D30184">
                        <w:rPr>
                          <w:sz w:val="24"/>
                          <w:szCs w:val="24"/>
                        </w:rPr>
                        <w:t>enable a world where you just look at an app and get an up-to-the moment result.</w:t>
                      </w:r>
                    </w:p>
                    <w:p w14:paraId="10698474" w14:textId="77777777" w:rsidR="00737B57" w:rsidRDefault="00737B57" w:rsidP="00737B57">
                      <w:pPr>
                        <w:pStyle w:val="ListParagraph"/>
                        <w:numPr>
                          <w:ilvl w:val="0"/>
                          <w:numId w:val="2"/>
                        </w:numPr>
                        <w:rPr>
                          <w:sz w:val="24"/>
                          <w:szCs w:val="24"/>
                        </w:rPr>
                      </w:pPr>
                      <w:r w:rsidRPr="001D29BA">
                        <w:rPr>
                          <w:sz w:val="24"/>
                          <w:szCs w:val="24"/>
                        </w:rPr>
                        <w:t>http://gaprosystem.com/</w:t>
                      </w:r>
                    </w:p>
                    <w:p w14:paraId="3B0B0678" w14:textId="77777777" w:rsidR="005A0AAD" w:rsidRDefault="00D30184">
                      <w:r>
                        <w:t>Source:  Insurance Thought Leadership</w:t>
                      </w:r>
                    </w:p>
                  </w:txbxContent>
                </v:textbox>
                <w10:wrap type="square" anchorx="margin"/>
              </v:shape>
            </w:pict>
          </mc:Fallback>
        </mc:AlternateContent>
      </w:r>
    </w:p>
    <w:p w14:paraId="5C3A7B39" w14:textId="77777777" w:rsidR="005A0AAD" w:rsidRPr="00EC6E87" w:rsidRDefault="005A0AAD" w:rsidP="00076C2D">
      <w:pPr>
        <w:rPr>
          <w:rFonts w:eastAsia="Times New Roman" w:cs="Arial"/>
          <w:color w:val="333333"/>
          <w:sz w:val="24"/>
          <w:szCs w:val="24"/>
          <w:lang w:val="en"/>
        </w:rPr>
      </w:pPr>
    </w:p>
    <w:p w14:paraId="4A961F62" w14:textId="77777777" w:rsidR="005A0AAD" w:rsidRPr="00EC6E87" w:rsidRDefault="005A0AAD" w:rsidP="00076C2D">
      <w:pPr>
        <w:rPr>
          <w:rFonts w:eastAsia="Times New Roman" w:cs="Arial"/>
          <w:color w:val="333333"/>
          <w:sz w:val="24"/>
          <w:szCs w:val="24"/>
          <w:lang w:val="en"/>
        </w:rPr>
      </w:pPr>
    </w:p>
    <w:p w14:paraId="7C3EDF18" w14:textId="77777777" w:rsidR="005A0AAD" w:rsidRPr="00EC6E87" w:rsidRDefault="00205E2D" w:rsidP="00076C2D">
      <w:pPr>
        <w:rPr>
          <w:rFonts w:eastAsia="Times New Roman" w:cs="Arial"/>
          <w:color w:val="333333"/>
          <w:sz w:val="24"/>
          <w:szCs w:val="24"/>
          <w:lang w:val="en"/>
        </w:rPr>
      </w:pPr>
      <w:r w:rsidRPr="00EC6E87">
        <w:rPr>
          <w:b/>
          <w:noProof/>
          <w:sz w:val="24"/>
          <w:szCs w:val="24"/>
        </w:rPr>
        <mc:AlternateContent>
          <mc:Choice Requires="wps">
            <w:drawing>
              <wp:anchor distT="45720" distB="45720" distL="114300" distR="114300" simplePos="0" relativeHeight="251663360" behindDoc="0" locked="0" layoutInCell="1" allowOverlap="1" wp14:anchorId="2A7BF5A4" wp14:editId="708B656C">
                <wp:simplePos x="0" y="0"/>
                <wp:positionH relativeFrom="column">
                  <wp:posOffset>238125</wp:posOffset>
                </wp:positionH>
                <wp:positionV relativeFrom="paragraph">
                  <wp:posOffset>0</wp:posOffset>
                </wp:positionV>
                <wp:extent cx="5581650" cy="2590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90800"/>
                        </a:xfrm>
                        <a:prstGeom prst="rect">
                          <a:avLst/>
                        </a:prstGeom>
                        <a:solidFill>
                          <a:srgbClr val="FFFFFF"/>
                        </a:solidFill>
                        <a:ln w="9525">
                          <a:solidFill>
                            <a:srgbClr val="000000"/>
                          </a:solidFill>
                          <a:miter lim="800000"/>
                          <a:headEnd/>
                          <a:tailEnd/>
                        </a:ln>
                      </wps:spPr>
                      <wps:txbx>
                        <w:txbxContent>
                          <w:p w14:paraId="02ED6086" w14:textId="77777777" w:rsidR="00205E2D" w:rsidRPr="00205E2D" w:rsidRDefault="00205E2D" w:rsidP="00205E2D">
                            <w:pPr>
                              <w:rPr>
                                <w:b/>
                                <w:sz w:val="32"/>
                                <w:szCs w:val="32"/>
                              </w:rPr>
                            </w:pPr>
                            <w:r w:rsidRPr="00205E2D">
                              <w:rPr>
                                <w:b/>
                                <w:sz w:val="32"/>
                                <w:szCs w:val="32"/>
                              </w:rPr>
                              <w:t xml:space="preserve">Risk Genius </w:t>
                            </w:r>
                          </w:p>
                          <w:p w14:paraId="679CB32B" w14:textId="77777777" w:rsidR="00205E2D" w:rsidRDefault="00205E2D" w:rsidP="00205E2D">
                            <w:pPr>
                              <w:pStyle w:val="ListParagraph"/>
                              <w:numPr>
                                <w:ilvl w:val="0"/>
                                <w:numId w:val="3"/>
                              </w:numPr>
                              <w:rPr>
                                <w:sz w:val="24"/>
                                <w:szCs w:val="24"/>
                              </w:rPr>
                            </w:pPr>
                            <w:r w:rsidRPr="001D29BA">
                              <w:rPr>
                                <w:sz w:val="24"/>
                                <w:szCs w:val="24"/>
                              </w:rPr>
                              <w:t xml:space="preserve">Overland Park, Kansas </w:t>
                            </w:r>
                            <w:r>
                              <w:rPr>
                                <w:sz w:val="24"/>
                                <w:szCs w:val="24"/>
                              </w:rPr>
                              <w:t xml:space="preserve">based company </w:t>
                            </w:r>
                            <w:r w:rsidRPr="001D29BA">
                              <w:rPr>
                                <w:sz w:val="24"/>
                                <w:szCs w:val="24"/>
                              </w:rPr>
                              <w:t xml:space="preserve">uses artificial intelligence to analyze policies clause by clause, as opposed to just word by word. </w:t>
                            </w:r>
                          </w:p>
                          <w:p w14:paraId="01926533" w14:textId="77777777" w:rsidR="00205E2D" w:rsidRDefault="00205E2D" w:rsidP="00205E2D">
                            <w:pPr>
                              <w:pStyle w:val="ListParagraph"/>
                              <w:numPr>
                                <w:ilvl w:val="0"/>
                                <w:numId w:val="3"/>
                              </w:numPr>
                              <w:rPr>
                                <w:sz w:val="24"/>
                                <w:szCs w:val="24"/>
                              </w:rPr>
                            </w:pPr>
                            <w:r>
                              <w:rPr>
                                <w:sz w:val="24"/>
                                <w:szCs w:val="24"/>
                              </w:rPr>
                              <w:t>M</w:t>
                            </w:r>
                            <w:r w:rsidRPr="001D29BA">
                              <w:rPr>
                                <w:sz w:val="24"/>
                                <w:szCs w:val="24"/>
                              </w:rPr>
                              <w:t xml:space="preserve">akes brokers more efficient by helping them compare coverages from different carriers and by largely automating the analysis. </w:t>
                            </w:r>
                          </w:p>
                          <w:p w14:paraId="68410135" w14:textId="77777777" w:rsidR="00205E2D" w:rsidRDefault="00205E2D" w:rsidP="00205E2D">
                            <w:pPr>
                              <w:pStyle w:val="ListParagraph"/>
                              <w:numPr>
                                <w:ilvl w:val="0"/>
                                <w:numId w:val="3"/>
                              </w:numPr>
                              <w:rPr>
                                <w:sz w:val="24"/>
                                <w:szCs w:val="24"/>
                              </w:rPr>
                            </w:pPr>
                            <w:r>
                              <w:rPr>
                                <w:sz w:val="24"/>
                                <w:szCs w:val="24"/>
                              </w:rPr>
                              <w:t>W</w:t>
                            </w:r>
                            <w:r w:rsidRPr="001D29BA">
                              <w:rPr>
                                <w:sz w:val="24"/>
                                <w:szCs w:val="24"/>
                              </w:rPr>
                              <w:t>ill allow for much</w:t>
                            </w:r>
                            <w:r>
                              <w:rPr>
                                <w:sz w:val="24"/>
                                <w:szCs w:val="24"/>
                              </w:rPr>
                              <w:t xml:space="preserve"> faster innovation in policies greatly reducing time and allowing for faster innovation.  </w:t>
                            </w:r>
                          </w:p>
                          <w:p w14:paraId="20D84A7D" w14:textId="77777777" w:rsidR="00205E2D" w:rsidRDefault="00205E2D" w:rsidP="00205E2D">
                            <w:pPr>
                              <w:pStyle w:val="ListParagraph"/>
                              <w:numPr>
                                <w:ilvl w:val="0"/>
                                <w:numId w:val="3"/>
                              </w:numPr>
                              <w:rPr>
                                <w:sz w:val="24"/>
                                <w:szCs w:val="24"/>
                              </w:rPr>
                            </w:pPr>
                            <w:r w:rsidRPr="001D29BA">
                              <w:rPr>
                                <w:sz w:val="24"/>
                                <w:szCs w:val="24"/>
                              </w:rPr>
                              <w:t>RiskGenius' high-level analysis at the clause level will also give consumers a way to better understand their policies, rather than drowning them in legalese.</w:t>
                            </w:r>
                          </w:p>
                          <w:p w14:paraId="24AE627F" w14:textId="77777777" w:rsidR="00205E2D" w:rsidRPr="001D29BA" w:rsidRDefault="00205E2D" w:rsidP="00205E2D">
                            <w:pPr>
                              <w:pStyle w:val="ListParagraph"/>
                              <w:numPr>
                                <w:ilvl w:val="0"/>
                                <w:numId w:val="3"/>
                              </w:numPr>
                              <w:rPr>
                                <w:sz w:val="24"/>
                                <w:szCs w:val="24"/>
                              </w:rPr>
                            </w:pPr>
                            <w:r w:rsidRPr="00C905A9">
                              <w:rPr>
                                <w:sz w:val="24"/>
                                <w:szCs w:val="24"/>
                              </w:rPr>
                              <w:t>https://riskgenius.com/</w:t>
                            </w:r>
                            <w:r w:rsidRPr="001D29BA">
                              <w:rPr>
                                <w:sz w:val="24"/>
                                <w:szCs w:val="24"/>
                              </w:rPr>
                              <w:t> </w:t>
                            </w:r>
                          </w:p>
                          <w:p w14:paraId="510567BF" w14:textId="77777777" w:rsidR="00205E2D" w:rsidRDefault="00D30184">
                            <w:r>
                              <w:t>Source:  Insurance Thought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7BF5A4" id="_x0000_s1028" type="#_x0000_t202" style="position:absolute;margin-left:18.75pt;margin-top:0;width:439.5pt;height:2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">
                <v:textbox>
                  <w:txbxContent>
                    <w:p w14:paraId="02ED6086" w14:textId="77777777" w:rsidR="00205E2D" w:rsidRPr="00205E2D" w:rsidRDefault="00205E2D" w:rsidP="00205E2D">
                      <w:pPr>
                        <w:rPr>
                          <w:b/>
                          <w:sz w:val="32"/>
                          <w:szCs w:val="32"/>
                        </w:rPr>
                      </w:pPr>
                      <w:r w:rsidRPr="00205E2D">
                        <w:rPr>
                          <w:b/>
                          <w:sz w:val="32"/>
                          <w:szCs w:val="32"/>
                        </w:rPr>
                        <w:t xml:space="preserve">Risk Genius </w:t>
                      </w:r>
                    </w:p>
                    <w:p w14:paraId="679CB32B" w14:textId="77777777" w:rsidR="00205E2D" w:rsidRDefault="00205E2D" w:rsidP="00205E2D">
                      <w:pPr>
                        <w:pStyle w:val="ListParagraph"/>
                        <w:numPr>
                          <w:ilvl w:val="0"/>
                          <w:numId w:val="3"/>
                        </w:numPr>
                        <w:rPr>
                          <w:sz w:val="24"/>
                          <w:szCs w:val="24"/>
                        </w:rPr>
                      </w:pPr>
                      <w:r w:rsidRPr="001D29BA">
                        <w:rPr>
                          <w:sz w:val="24"/>
                          <w:szCs w:val="24"/>
                        </w:rPr>
                        <w:t xml:space="preserve">Overland Park, Kansas </w:t>
                      </w:r>
                      <w:r>
                        <w:rPr>
                          <w:sz w:val="24"/>
                          <w:szCs w:val="24"/>
                        </w:rPr>
                        <w:t xml:space="preserve">based company </w:t>
                      </w:r>
                      <w:r w:rsidRPr="001D29BA">
                        <w:rPr>
                          <w:sz w:val="24"/>
                          <w:szCs w:val="24"/>
                        </w:rPr>
                        <w:t xml:space="preserve">uses artificial intelligence to analyze policies clause by clause, as opposed to just word by word. </w:t>
                      </w:r>
                    </w:p>
                    <w:p w14:paraId="01926533" w14:textId="77777777" w:rsidR="00205E2D" w:rsidRDefault="00205E2D" w:rsidP="00205E2D">
                      <w:pPr>
                        <w:pStyle w:val="ListParagraph"/>
                        <w:numPr>
                          <w:ilvl w:val="0"/>
                          <w:numId w:val="3"/>
                        </w:numPr>
                        <w:rPr>
                          <w:sz w:val="24"/>
                          <w:szCs w:val="24"/>
                        </w:rPr>
                      </w:pPr>
                      <w:r>
                        <w:rPr>
                          <w:sz w:val="24"/>
                          <w:szCs w:val="24"/>
                        </w:rPr>
                        <w:t>M</w:t>
                      </w:r>
                      <w:r w:rsidRPr="001D29BA">
                        <w:rPr>
                          <w:sz w:val="24"/>
                          <w:szCs w:val="24"/>
                        </w:rPr>
                        <w:t xml:space="preserve">akes brokers more efficient by helping them compare coverages from different carriers and by largely automating the analysis. </w:t>
                      </w:r>
                    </w:p>
                    <w:p w14:paraId="68410135" w14:textId="77777777" w:rsidR="00205E2D" w:rsidRDefault="00205E2D" w:rsidP="00205E2D">
                      <w:pPr>
                        <w:pStyle w:val="ListParagraph"/>
                        <w:numPr>
                          <w:ilvl w:val="0"/>
                          <w:numId w:val="3"/>
                        </w:numPr>
                        <w:rPr>
                          <w:sz w:val="24"/>
                          <w:szCs w:val="24"/>
                        </w:rPr>
                      </w:pPr>
                      <w:r>
                        <w:rPr>
                          <w:sz w:val="24"/>
                          <w:szCs w:val="24"/>
                        </w:rPr>
                        <w:t>W</w:t>
                      </w:r>
                      <w:r w:rsidRPr="001D29BA">
                        <w:rPr>
                          <w:sz w:val="24"/>
                          <w:szCs w:val="24"/>
                        </w:rPr>
                        <w:t>ill allow for much</w:t>
                      </w:r>
                      <w:r>
                        <w:rPr>
                          <w:sz w:val="24"/>
                          <w:szCs w:val="24"/>
                        </w:rPr>
                        <w:t xml:space="preserve"> faster innovation in policies greatly reducing time and allowing for faster innovation.  </w:t>
                      </w:r>
                    </w:p>
                    <w:p w14:paraId="20D84A7D" w14:textId="77777777" w:rsidR="00205E2D" w:rsidRDefault="00205E2D" w:rsidP="00205E2D">
                      <w:pPr>
                        <w:pStyle w:val="ListParagraph"/>
                        <w:numPr>
                          <w:ilvl w:val="0"/>
                          <w:numId w:val="3"/>
                        </w:numPr>
                        <w:rPr>
                          <w:sz w:val="24"/>
                          <w:szCs w:val="24"/>
                        </w:rPr>
                      </w:pPr>
                      <w:r w:rsidRPr="001D29BA">
                        <w:rPr>
                          <w:sz w:val="24"/>
                          <w:szCs w:val="24"/>
                        </w:rPr>
                        <w:t>RiskGenius' high-level analysis at the clause level will also give consumers a way to better understand their policies, rather than drowning them in legalese.</w:t>
                      </w:r>
                    </w:p>
                    <w:p w14:paraId="24AE627F" w14:textId="77777777" w:rsidR="00205E2D" w:rsidRPr="001D29BA" w:rsidRDefault="00205E2D" w:rsidP="00205E2D">
                      <w:pPr>
                        <w:pStyle w:val="ListParagraph"/>
                        <w:numPr>
                          <w:ilvl w:val="0"/>
                          <w:numId w:val="3"/>
                        </w:numPr>
                        <w:rPr>
                          <w:sz w:val="24"/>
                          <w:szCs w:val="24"/>
                        </w:rPr>
                      </w:pPr>
                      <w:r w:rsidRPr="00C905A9">
                        <w:rPr>
                          <w:sz w:val="24"/>
                          <w:szCs w:val="24"/>
                        </w:rPr>
                        <w:t>https://riskgenius.com/</w:t>
                      </w:r>
                      <w:r w:rsidRPr="001D29BA">
                        <w:rPr>
                          <w:sz w:val="24"/>
                          <w:szCs w:val="24"/>
                        </w:rPr>
                        <w:t> </w:t>
                      </w:r>
                    </w:p>
                    <w:p w14:paraId="510567BF" w14:textId="77777777" w:rsidR="00205E2D" w:rsidRDefault="00D30184">
                      <w:r>
                        <w:t>Source:  Insurance Thought Leadership</w:t>
                      </w:r>
                    </w:p>
                  </w:txbxContent>
                </v:textbox>
                <w10:wrap type="square"/>
              </v:shape>
            </w:pict>
          </mc:Fallback>
        </mc:AlternateContent>
      </w:r>
    </w:p>
    <w:p w14:paraId="13019C86" w14:textId="77777777" w:rsidR="00B845C4" w:rsidRPr="00EC6E87" w:rsidRDefault="007659E9" w:rsidP="005C710D">
      <w:pPr>
        <w:pStyle w:val="Default"/>
        <w:spacing w:before="100" w:beforeAutospacing="1"/>
        <w:rPr>
          <w:rFonts w:asciiTheme="minorHAnsi" w:eastAsia="Times New Roman" w:hAnsiTheme="minorHAnsi" w:cs="Arial"/>
          <w:color w:val="333333"/>
          <w:lang w:val="en"/>
        </w:rPr>
      </w:pPr>
      <w:r w:rsidRPr="00EC6E87">
        <w:rPr>
          <w:rFonts w:asciiTheme="minorHAnsi" w:eastAsia="Times New Roman" w:hAnsiTheme="minorHAnsi" w:cs="Arial"/>
          <w:b/>
          <w:color w:val="333333"/>
          <w:lang w:val="en"/>
        </w:rPr>
        <w:lastRenderedPageBreak/>
        <w:t xml:space="preserve">International Agreements </w:t>
      </w:r>
      <w:r w:rsidR="005C6D67" w:rsidRPr="00EC6E87">
        <w:rPr>
          <w:rFonts w:asciiTheme="minorHAnsi" w:eastAsia="Times New Roman" w:hAnsiTheme="minorHAnsi" w:cs="Arial"/>
          <w:b/>
          <w:color w:val="333333"/>
          <w:lang w:val="en"/>
        </w:rPr>
        <w:t xml:space="preserve">and </w:t>
      </w:r>
      <w:r w:rsidRPr="00EC6E87">
        <w:rPr>
          <w:rFonts w:asciiTheme="minorHAnsi" w:eastAsia="Times New Roman" w:hAnsiTheme="minorHAnsi" w:cs="Arial"/>
          <w:b/>
          <w:color w:val="333333"/>
          <w:lang w:val="en"/>
        </w:rPr>
        <w:t>domestic legislation</w:t>
      </w:r>
      <w:r w:rsidR="005C6D67" w:rsidRPr="00EC6E87">
        <w:rPr>
          <w:rFonts w:asciiTheme="minorHAnsi" w:eastAsia="Times New Roman" w:hAnsiTheme="minorHAnsi" w:cs="Arial"/>
          <w:b/>
          <w:color w:val="333333"/>
          <w:lang w:val="en"/>
        </w:rPr>
        <w:t xml:space="preserve"> </w:t>
      </w:r>
      <w:r w:rsidRPr="00EC6E87">
        <w:rPr>
          <w:rFonts w:asciiTheme="minorHAnsi" w:eastAsia="Times New Roman" w:hAnsiTheme="minorHAnsi" w:cs="Arial"/>
          <w:b/>
          <w:color w:val="333333"/>
          <w:lang w:val="en"/>
        </w:rPr>
        <w:t xml:space="preserve"> </w:t>
      </w:r>
      <w:r w:rsidR="009D2A9E" w:rsidRPr="00EC6E87">
        <w:rPr>
          <w:rFonts w:asciiTheme="minorHAnsi" w:eastAsia="Times New Roman" w:hAnsiTheme="minorHAnsi" w:cs="Arial"/>
          <w:b/>
          <w:color w:val="333333"/>
          <w:lang w:val="en"/>
        </w:rPr>
        <w:t xml:space="preserve"> </w:t>
      </w:r>
    </w:p>
    <w:p w14:paraId="3FDE7D72" w14:textId="49BFC36B" w:rsidR="00AF15E5" w:rsidRPr="00EC6E87" w:rsidRDefault="007659E9" w:rsidP="00EC3B01">
      <w:pPr>
        <w:rPr>
          <w:rFonts w:cs="Times New Roman"/>
          <w:sz w:val="24"/>
          <w:szCs w:val="24"/>
        </w:rPr>
      </w:pPr>
      <w:r w:rsidRPr="00EC6E87">
        <w:rPr>
          <w:rFonts w:cs="Arial"/>
          <w:color w:val="333333"/>
          <w:sz w:val="24"/>
          <w:szCs w:val="24"/>
          <w:lang w:val="en"/>
        </w:rPr>
        <w:t xml:space="preserve">The Dodd-Frank </w:t>
      </w:r>
      <w:r w:rsidR="00192A68" w:rsidRPr="00EC6E87">
        <w:rPr>
          <w:rFonts w:cs="Arial"/>
          <w:color w:val="333333"/>
          <w:sz w:val="24"/>
          <w:szCs w:val="24"/>
          <w:lang w:val="en"/>
        </w:rPr>
        <w:t xml:space="preserve">Financial Reform </w:t>
      </w:r>
      <w:r w:rsidRPr="00EC6E87">
        <w:rPr>
          <w:rFonts w:cs="Arial"/>
          <w:color w:val="333333"/>
          <w:sz w:val="24"/>
          <w:szCs w:val="24"/>
          <w:lang w:val="en"/>
        </w:rPr>
        <w:t>Act</w:t>
      </w:r>
      <w:r w:rsidR="00192A68" w:rsidRPr="00EC6E87">
        <w:rPr>
          <w:rFonts w:cs="Arial"/>
          <w:color w:val="333333"/>
          <w:sz w:val="24"/>
          <w:szCs w:val="24"/>
          <w:lang w:val="en"/>
        </w:rPr>
        <w:t xml:space="preserve"> of 2010 </w:t>
      </w:r>
      <w:r w:rsidRPr="00EC6E87">
        <w:rPr>
          <w:rFonts w:cs="Arial"/>
          <w:color w:val="333333"/>
          <w:sz w:val="24"/>
          <w:szCs w:val="24"/>
          <w:lang w:val="en"/>
        </w:rPr>
        <w:t xml:space="preserve">authorized </w:t>
      </w:r>
      <w:r w:rsidR="00B30D21" w:rsidRPr="00EC6E87">
        <w:rPr>
          <w:rFonts w:cs="Arial"/>
          <w:color w:val="333333"/>
          <w:sz w:val="24"/>
          <w:szCs w:val="24"/>
          <w:lang w:val="en"/>
        </w:rPr>
        <w:t xml:space="preserve">the </w:t>
      </w:r>
      <w:r w:rsidRPr="00EC6E87">
        <w:rPr>
          <w:rFonts w:cs="Arial"/>
          <w:color w:val="333333"/>
          <w:sz w:val="24"/>
          <w:szCs w:val="24"/>
          <w:lang w:val="en"/>
        </w:rPr>
        <w:t xml:space="preserve">Treasury </w:t>
      </w:r>
      <w:r w:rsidR="00B30D21" w:rsidRPr="00EC6E87">
        <w:rPr>
          <w:rFonts w:cs="Arial"/>
          <w:color w:val="333333"/>
          <w:sz w:val="24"/>
          <w:szCs w:val="24"/>
          <w:lang w:val="en"/>
        </w:rPr>
        <w:t xml:space="preserve">Secretary </w:t>
      </w:r>
      <w:r w:rsidRPr="00EC6E87">
        <w:rPr>
          <w:rFonts w:cs="Arial"/>
          <w:color w:val="333333"/>
          <w:sz w:val="24"/>
          <w:szCs w:val="24"/>
          <w:lang w:val="en"/>
        </w:rPr>
        <w:t xml:space="preserve">and the </w:t>
      </w:r>
      <w:r w:rsidR="00A1708B" w:rsidRPr="00EC6E87">
        <w:rPr>
          <w:rFonts w:cs="Arial"/>
          <w:color w:val="333333"/>
          <w:sz w:val="24"/>
          <w:szCs w:val="24"/>
          <w:lang w:val="en"/>
        </w:rPr>
        <w:t>United States Trade Representative (</w:t>
      </w:r>
      <w:r w:rsidRPr="00EC6E87">
        <w:rPr>
          <w:rFonts w:cs="Arial"/>
          <w:color w:val="333333"/>
          <w:sz w:val="24"/>
          <w:szCs w:val="24"/>
          <w:lang w:val="en"/>
        </w:rPr>
        <w:t>USTR</w:t>
      </w:r>
      <w:r w:rsidR="00A1708B" w:rsidRPr="00EC6E87">
        <w:rPr>
          <w:rFonts w:cs="Arial"/>
          <w:color w:val="333333"/>
          <w:sz w:val="24"/>
          <w:szCs w:val="24"/>
          <w:lang w:val="en"/>
        </w:rPr>
        <w:t>)</w:t>
      </w:r>
      <w:r w:rsidRPr="00EC6E87">
        <w:rPr>
          <w:rFonts w:cs="Arial"/>
          <w:color w:val="333333"/>
          <w:sz w:val="24"/>
          <w:szCs w:val="24"/>
          <w:lang w:val="en"/>
        </w:rPr>
        <w:t xml:space="preserve"> to jointly conclude a </w:t>
      </w:r>
      <w:r w:rsidR="00B30D21" w:rsidRPr="00EC6E87">
        <w:rPr>
          <w:rFonts w:cs="Arial"/>
          <w:color w:val="333333"/>
          <w:sz w:val="24"/>
          <w:szCs w:val="24"/>
          <w:lang w:val="en"/>
        </w:rPr>
        <w:t xml:space="preserve">written </w:t>
      </w:r>
      <w:r w:rsidRPr="00EC6E87">
        <w:rPr>
          <w:rFonts w:cs="Arial"/>
          <w:color w:val="333333"/>
          <w:sz w:val="24"/>
          <w:szCs w:val="24"/>
          <w:lang w:val="en"/>
        </w:rPr>
        <w:t xml:space="preserve">bilateral </w:t>
      </w:r>
      <w:r w:rsidR="00192A68" w:rsidRPr="00EC6E87">
        <w:rPr>
          <w:rFonts w:cs="Arial"/>
          <w:color w:val="333333"/>
          <w:sz w:val="24"/>
          <w:szCs w:val="24"/>
          <w:lang w:val="en"/>
        </w:rPr>
        <w:t>or multi</w:t>
      </w:r>
      <w:r w:rsidRPr="00EC6E87">
        <w:rPr>
          <w:rFonts w:cs="Arial"/>
          <w:color w:val="333333"/>
          <w:sz w:val="24"/>
          <w:szCs w:val="24"/>
          <w:lang w:val="en"/>
        </w:rPr>
        <w:t xml:space="preserve">lateral agreement with </w:t>
      </w:r>
      <w:r w:rsidR="00B30D21" w:rsidRPr="00EC6E87">
        <w:rPr>
          <w:rFonts w:cs="Arial"/>
          <w:color w:val="333333"/>
          <w:sz w:val="24"/>
          <w:szCs w:val="24"/>
          <w:lang w:val="en"/>
        </w:rPr>
        <w:t>foreign governments, autho</w:t>
      </w:r>
      <w:r w:rsidR="007154D7">
        <w:rPr>
          <w:rFonts w:cs="Arial"/>
          <w:color w:val="333333"/>
          <w:sz w:val="24"/>
          <w:szCs w:val="24"/>
          <w:lang w:val="en"/>
        </w:rPr>
        <w:t xml:space="preserve">rities, or regulatory entities </w:t>
      </w:r>
      <w:r w:rsidRPr="00EC6E87">
        <w:rPr>
          <w:rFonts w:cs="Arial"/>
          <w:color w:val="333333"/>
          <w:sz w:val="24"/>
          <w:szCs w:val="24"/>
          <w:lang w:val="en"/>
        </w:rPr>
        <w:t>on "prudential measures</w:t>
      </w:r>
      <w:r w:rsidR="00B30D21" w:rsidRPr="00EC6E87">
        <w:rPr>
          <w:rFonts w:cs="Arial"/>
          <w:color w:val="333333"/>
          <w:sz w:val="24"/>
          <w:szCs w:val="24"/>
          <w:lang w:val="en"/>
        </w:rPr>
        <w:t xml:space="preserve"> with respect to the business of insurance or reinsurance</w:t>
      </w:r>
      <w:r w:rsidR="00B30D21" w:rsidRPr="00EC6E87">
        <w:rPr>
          <w:rStyle w:val="FootnoteReference"/>
          <w:rFonts w:cs="Arial"/>
          <w:color w:val="333333"/>
          <w:sz w:val="24"/>
          <w:szCs w:val="24"/>
          <w:lang w:val="en"/>
        </w:rPr>
        <w:footnoteReference w:id="12"/>
      </w:r>
      <w:r w:rsidRPr="00EC6E87">
        <w:rPr>
          <w:rFonts w:cs="Arial"/>
          <w:color w:val="333333"/>
          <w:sz w:val="24"/>
          <w:szCs w:val="24"/>
          <w:lang w:val="en"/>
        </w:rPr>
        <w:t xml:space="preserve">".  </w:t>
      </w:r>
      <w:r w:rsidR="00192A68" w:rsidRPr="00EC6E87">
        <w:rPr>
          <w:rFonts w:cs="Arial"/>
          <w:color w:val="333333"/>
          <w:sz w:val="24"/>
          <w:szCs w:val="24"/>
          <w:lang w:val="en"/>
        </w:rPr>
        <w:t>Under that authority i</w:t>
      </w:r>
      <w:r w:rsidR="007B338C" w:rsidRPr="00EC6E87">
        <w:rPr>
          <w:rFonts w:cs="Arial"/>
          <w:color w:val="333333"/>
          <w:sz w:val="24"/>
          <w:szCs w:val="24"/>
          <w:lang w:val="en"/>
        </w:rPr>
        <w:t xml:space="preserve">n January 2017 the </w:t>
      </w:r>
      <w:r w:rsidR="00430C62" w:rsidRPr="00EC6E87">
        <w:rPr>
          <w:rFonts w:cs="Arial"/>
          <w:color w:val="333333"/>
          <w:sz w:val="24"/>
          <w:szCs w:val="24"/>
          <w:lang w:val="en"/>
        </w:rPr>
        <w:t xml:space="preserve">Treasury </w:t>
      </w:r>
      <w:r w:rsidRPr="00EC6E87">
        <w:rPr>
          <w:rFonts w:cs="Arial"/>
          <w:color w:val="333333"/>
          <w:sz w:val="24"/>
          <w:szCs w:val="24"/>
          <w:lang w:val="en"/>
        </w:rPr>
        <w:t xml:space="preserve">Department </w:t>
      </w:r>
      <w:r w:rsidR="00430C62" w:rsidRPr="00EC6E87">
        <w:rPr>
          <w:rFonts w:cs="Arial"/>
          <w:color w:val="333333"/>
          <w:sz w:val="24"/>
          <w:szCs w:val="24"/>
          <w:lang w:val="en"/>
        </w:rPr>
        <w:t>and the US T</w:t>
      </w:r>
      <w:r w:rsidRPr="00EC6E87">
        <w:rPr>
          <w:rFonts w:cs="Arial"/>
          <w:color w:val="333333"/>
          <w:sz w:val="24"/>
          <w:szCs w:val="24"/>
          <w:lang w:val="en"/>
        </w:rPr>
        <w:t xml:space="preserve">rade Representative (USTR) concluded its first insurance </w:t>
      </w:r>
      <w:r w:rsidR="00BC4109" w:rsidRPr="00EC6E87">
        <w:rPr>
          <w:rFonts w:cs="Arial"/>
          <w:color w:val="333333"/>
          <w:sz w:val="24"/>
          <w:szCs w:val="24"/>
          <w:lang w:val="en"/>
        </w:rPr>
        <w:t>“</w:t>
      </w:r>
      <w:r w:rsidR="00B55220" w:rsidRPr="00EC6E87">
        <w:rPr>
          <w:rFonts w:cs="Arial"/>
          <w:color w:val="333333"/>
          <w:sz w:val="24"/>
          <w:szCs w:val="24"/>
          <w:lang w:val="en"/>
        </w:rPr>
        <w:t>c</w:t>
      </w:r>
      <w:r w:rsidRPr="00EC6E87">
        <w:rPr>
          <w:rFonts w:cs="Arial"/>
          <w:color w:val="333333"/>
          <w:sz w:val="24"/>
          <w:szCs w:val="24"/>
          <w:lang w:val="en"/>
        </w:rPr>
        <w:t>overed agreement</w:t>
      </w:r>
      <w:r w:rsidR="00BC4109" w:rsidRPr="00EC6E87">
        <w:rPr>
          <w:rFonts w:cs="Arial"/>
          <w:color w:val="333333"/>
          <w:sz w:val="24"/>
          <w:szCs w:val="24"/>
          <w:lang w:val="en"/>
        </w:rPr>
        <w:t>”</w:t>
      </w:r>
      <w:r w:rsidRPr="00EC6E87">
        <w:rPr>
          <w:rFonts w:cs="Arial"/>
          <w:color w:val="333333"/>
          <w:sz w:val="24"/>
          <w:szCs w:val="24"/>
          <w:lang w:val="en"/>
        </w:rPr>
        <w:t xml:space="preserve"> wi</w:t>
      </w:r>
      <w:r w:rsidR="007E56A2" w:rsidRPr="00EC6E87">
        <w:rPr>
          <w:rFonts w:cs="Arial"/>
          <w:color w:val="333333"/>
          <w:sz w:val="24"/>
          <w:szCs w:val="24"/>
          <w:lang w:val="en"/>
        </w:rPr>
        <w:t xml:space="preserve">th the EU that </w:t>
      </w:r>
      <w:r w:rsidR="007154D7">
        <w:rPr>
          <w:rFonts w:cs="Arial"/>
          <w:color w:val="333333"/>
          <w:sz w:val="24"/>
          <w:szCs w:val="24"/>
          <w:lang w:val="en"/>
        </w:rPr>
        <w:t>purports to resolve</w:t>
      </w:r>
      <w:r w:rsidR="00EC3B01" w:rsidRPr="00EC6E87">
        <w:rPr>
          <w:rFonts w:cs="Arial"/>
          <w:color w:val="333333"/>
          <w:sz w:val="24"/>
          <w:szCs w:val="24"/>
          <w:lang w:val="en"/>
        </w:rPr>
        <w:t xml:space="preserve"> the disparate treatment of U.S. insurers operating </w:t>
      </w:r>
      <w:r w:rsidR="007154D7">
        <w:rPr>
          <w:rFonts w:cs="Arial"/>
          <w:color w:val="333333"/>
          <w:sz w:val="24"/>
          <w:szCs w:val="24"/>
          <w:lang w:val="en"/>
        </w:rPr>
        <w:t xml:space="preserve">in EU member states </w:t>
      </w:r>
      <w:r w:rsidR="00EC3B01" w:rsidRPr="00EC6E87">
        <w:rPr>
          <w:rFonts w:cs="Arial"/>
          <w:color w:val="333333"/>
          <w:sz w:val="24"/>
          <w:szCs w:val="24"/>
          <w:lang w:val="en"/>
        </w:rPr>
        <w:t xml:space="preserve">and </w:t>
      </w:r>
      <w:r w:rsidR="007154D7">
        <w:rPr>
          <w:rFonts w:cs="Arial"/>
          <w:color w:val="333333"/>
          <w:sz w:val="24"/>
          <w:szCs w:val="24"/>
          <w:lang w:val="en"/>
        </w:rPr>
        <w:t>eliminates</w:t>
      </w:r>
      <w:r w:rsidR="00EC3B01" w:rsidRPr="00EC6E87">
        <w:rPr>
          <w:rFonts w:cs="Arial"/>
          <w:color w:val="333333"/>
          <w:sz w:val="24"/>
          <w:szCs w:val="24"/>
          <w:lang w:val="en"/>
        </w:rPr>
        <w:t xml:space="preserve"> collateral requirements for EU </w:t>
      </w:r>
      <w:r w:rsidR="007154D7">
        <w:rPr>
          <w:rFonts w:cs="Arial"/>
          <w:color w:val="333333"/>
          <w:sz w:val="24"/>
          <w:szCs w:val="24"/>
          <w:lang w:val="en"/>
        </w:rPr>
        <w:t>insurers in the United States</w:t>
      </w:r>
      <w:r w:rsidR="00EC3B01" w:rsidRPr="00EC6E87">
        <w:rPr>
          <w:rFonts w:cs="Arial"/>
          <w:color w:val="333333"/>
          <w:sz w:val="24"/>
          <w:szCs w:val="24"/>
          <w:lang w:val="en"/>
        </w:rPr>
        <w:t xml:space="preserve">. </w:t>
      </w:r>
      <w:r w:rsidR="007154D7">
        <w:rPr>
          <w:rFonts w:cs="Arial"/>
          <w:color w:val="333333"/>
          <w:sz w:val="24"/>
          <w:szCs w:val="24"/>
          <w:lang w:val="en"/>
        </w:rPr>
        <w:t xml:space="preserve"> </w:t>
      </w:r>
      <w:r w:rsidR="00EC3B01" w:rsidRPr="00EC6E87">
        <w:rPr>
          <w:rFonts w:cs="Arial"/>
          <w:color w:val="333333"/>
          <w:sz w:val="24"/>
          <w:szCs w:val="24"/>
          <w:lang w:val="en"/>
        </w:rPr>
        <w:t xml:space="preserve">Under this agreement, the material differences from current state credit for reinsurance laws could </w:t>
      </w:r>
      <w:r w:rsidR="00430C62" w:rsidRPr="00EC6E87">
        <w:rPr>
          <w:rFonts w:cs="Arial"/>
          <w:color w:val="333333"/>
          <w:sz w:val="24"/>
          <w:szCs w:val="24"/>
          <w:lang w:val="en"/>
        </w:rPr>
        <w:t>potentially</w:t>
      </w:r>
      <w:r w:rsidR="00EC3B01" w:rsidRPr="00EC6E87">
        <w:rPr>
          <w:rFonts w:cs="Arial"/>
          <w:color w:val="333333"/>
          <w:sz w:val="24"/>
          <w:szCs w:val="24"/>
          <w:lang w:val="en"/>
        </w:rPr>
        <w:t xml:space="preserve"> lead to</w:t>
      </w:r>
      <w:r w:rsidR="00430C62" w:rsidRPr="00EC6E87">
        <w:rPr>
          <w:rFonts w:cs="Arial"/>
          <w:color w:val="333333"/>
          <w:sz w:val="24"/>
          <w:szCs w:val="24"/>
          <w:lang w:val="en"/>
        </w:rPr>
        <w:t xml:space="preserve"> </w:t>
      </w:r>
      <w:r w:rsidR="00EC3B01" w:rsidRPr="00EC6E87">
        <w:rPr>
          <w:rFonts w:cs="Arial"/>
          <w:color w:val="333333"/>
          <w:sz w:val="24"/>
          <w:szCs w:val="24"/>
          <w:lang w:val="en"/>
        </w:rPr>
        <w:t xml:space="preserve">a </w:t>
      </w:r>
      <w:r w:rsidR="00430C62" w:rsidRPr="00EC6E87">
        <w:rPr>
          <w:rFonts w:cs="Arial"/>
          <w:color w:val="333333"/>
          <w:sz w:val="24"/>
          <w:szCs w:val="24"/>
          <w:lang w:val="en"/>
        </w:rPr>
        <w:t>preempt</w:t>
      </w:r>
      <w:r w:rsidR="00EC3B01" w:rsidRPr="00EC6E87">
        <w:rPr>
          <w:rFonts w:cs="Arial"/>
          <w:color w:val="333333"/>
          <w:sz w:val="24"/>
          <w:szCs w:val="24"/>
          <w:lang w:val="en"/>
        </w:rPr>
        <w:t>ion of</w:t>
      </w:r>
      <w:r w:rsidR="00430C62" w:rsidRPr="00EC6E87">
        <w:rPr>
          <w:rFonts w:cs="Arial"/>
          <w:color w:val="333333"/>
          <w:sz w:val="24"/>
          <w:szCs w:val="24"/>
          <w:lang w:val="en"/>
        </w:rPr>
        <w:t xml:space="preserve"> state laws</w:t>
      </w:r>
      <w:r w:rsidR="00EC3B01" w:rsidRPr="00EC6E87">
        <w:rPr>
          <w:rFonts w:cs="Arial"/>
          <w:color w:val="333333"/>
          <w:sz w:val="24"/>
          <w:szCs w:val="24"/>
          <w:lang w:val="en"/>
        </w:rPr>
        <w:t>.</w:t>
      </w:r>
      <w:r w:rsidR="00430C62" w:rsidRPr="00EC6E87">
        <w:rPr>
          <w:rFonts w:cs="Arial"/>
          <w:color w:val="333333"/>
          <w:sz w:val="24"/>
          <w:szCs w:val="24"/>
          <w:lang w:val="en"/>
        </w:rPr>
        <w:t xml:space="preserve"> </w:t>
      </w:r>
      <w:r w:rsidR="009D2A9E" w:rsidRPr="00EC6E87">
        <w:rPr>
          <w:rFonts w:cs="Arial"/>
          <w:color w:val="333333"/>
          <w:sz w:val="24"/>
          <w:szCs w:val="24"/>
          <w:lang w:val="en"/>
        </w:rPr>
        <w:t xml:space="preserve">The </w:t>
      </w:r>
      <w:r w:rsidR="00B55220" w:rsidRPr="00EC6E87">
        <w:rPr>
          <w:rFonts w:cs="Arial"/>
          <w:color w:val="333333"/>
          <w:sz w:val="24"/>
          <w:szCs w:val="24"/>
          <w:lang w:val="en"/>
        </w:rPr>
        <w:t>covered a</w:t>
      </w:r>
      <w:r w:rsidR="009D2A9E" w:rsidRPr="00EC6E87">
        <w:rPr>
          <w:rFonts w:cs="Arial"/>
          <w:color w:val="333333"/>
          <w:sz w:val="24"/>
          <w:szCs w:val="24"/>
          <w:lang w:val="en"/>
        </w:rPr>
        <w:t>greement covers three areas of "prudential insurance" oversight: (i) reinsurance</w:t>
      </w:r>
      <w:r w:rsidR="00514427" w:rsidRPr="00EC6E87">
        <w:rPr>
          <w:rFonts w:cs="Arial"/>
          <w:color w:val="333333"/>
          <w:sz w:val="24"/>
          <w:szCs w:val="24"/>
          <w:lang w:val="en"/>
        </w:rPr>
        <w:t xml:space="preserve"> (insurance purchased by an insurance company)</w:t>
      </w:r>
      <w:r w:rsidR="009D2A9E" w:rsidRPr="00EC6E87">
        <w:rPr>
          <w:rFonts w:cs="Arial"/>
          <w:color w:val="333333"/>
          <w:sz w:val="24"/>
          <w:szCs w:val="24"/>
          <w:lang w:val="en"/>
        </w:rPr>
        <w:t>; (ii) group supervision</w:t>
      </w:r>
      <w:r w:rsidR="00A1708B" w:rsidRPr="00EC6E87">
        <w:rPr>
          <w:rFonts w:cs="Arial"/>
          <w:color w:val="333333"/>
          <w:sz w:val="24"/>
          <w:szCs w:val="24"/>
          <w:lang w:val="en"/>
        </w:rPr>
        <w:t xml:space="preserve"> (supervision of holding companies with insurance units)</w:t>
      </w:r>
      <w:r w:rsidR="009D2A9E" w:rsidRPr="00EC6E87">
        <w:rPr>
          <w:rFonts w:cs="Arial"/>
          <w:color w:val="333333"/>
          <w:sz w:val="24"/>
          <w:szCs w:val="24"/>
          <w:lang w:val="en"/>
        </w:rPr>
        <w:t xml:space="preserve">; and (iii) the exchange of insurance information between supervisors.  </w:t>
      </w:r>
      <w:r w:rsidRPr="00EC6E87">
        <w:rPr>
          <w:rFonts w:cs="Arial"/>
          <w:color w:val="333333"/>
          <w:sz w:val="24"/>
          <w:szCs w:val="24"/>
          <w:lang w:val="en"/>
        </w:rPr>
        <w:t xml:space="preserve"> The US-EU Covered Agreement comes at a time where members of Congress have proposed legislation that would have a dramatic impact on both insurance and fintech.  For example, </w:t>
      </w:r>
      <w:r w:rsidRPr="00EC6E87">
        <w:rPr>
          <w:sz w:val="24"/>
          <w:szCs w:val="24"/>
        </w:rPr>
        <w:t xml:space="preserve">Congressman Jeb Hensarling has introduced the Financial Choice Act which would consolidate how insurance is addressed at the federal level by creating an Independent Insurance Advocate </w:t>
      </w:r>
      <w:r w:rsidR="007154D7">
        <w:rPr>
          <w:sz w:val="24"/>
          <w:szCs w:val="24"/>
        </w:rPr>
        <w:t xml:space="preserve">(IIA) </w:t>
      </w:r>
      <w:r w:rsidRPr="00EC6E87">
        <w:rPr>
          <w:sz w:val="24"/>
          <w:szCs w:val="24"/>
        </w:rPr>
        <w:t xml:space="preserve">within the Treasury Department.  </w:t>
      </w:r>
      <w:r w:rsidR="00192A68" w:rsidRPr="00EC6E87">
        <w:rPr>
          <w:rFonts w:cs="Times New Roman"/>
          <w:sz w:val="24"/>
          <w:szCs w:val="24"/>
        </w:rPr>
        <w:t xml:space="preserve">The IIA would </w:t>
      </w:r>
      <w:r w:rsidRPr="00EC6E87">
        <w:rPr>
          <w:rFonts w:cs="Times New Roman"/>
          <w:sz w:val="24"/>
          <w:szCs w:val="24"/>
        </w:rPr>
        <w:t xml:space="preserve">serve as the voting </w:t>
      </w:r>
      <w:r w:rsidR="00192A68" w:rsidRPr="00EC6E87">
        <w:rPr>
          <w:rFonts w:cs="Times New Roman"/>
          <w:sz w:val="24"/>
          <w:szCs w:val="24"/>
        </w:rPr>
        <w:t>Financial Stability Oversight Council (</w:t>
      </w:r>
      <w:r w:rsidRPr="00EC6E87">
        <w:rPr>
          <w:rFonts w:cs="Times New Roman"/>
          <w:sz w:val="24"/>
          <w:szCs w:val="24"/>
        </w:rPr>
        <w:t>FSOC</w:t>
      </w:r>
      <w:r w:rsidR="00192A68" w:rsidRPr="00EC6E87">
        <w:rPr>
          <w:rFonts w:cs="Times New Roman"/>
          <w:sz w:val="24"/>
          <w:szCs w:val="24"/>
        </w:rPr>
        <w:t>)</w:t>
      </w:r>
      <w:r w:rsidR="00870B85" w:rsidRPr="00EC6E87">
        <w:rPr>
          <w:rStyle w:val="FootnoteReference"/>
          <w:rFonts w:cs="Times New Roman"/>
          <w:sz w:val="24"/>
          <w:szCs w:val="24"/>
        </w:rPr>
        <w:footnoteReference w:id="13"/>
      </w:r>
      <w:r w:rsidR="00192A68" w:rsidRPr="00EC6E87">
        <w:rPr>
          <w:rFonts w:cs="Times New Roman"/>
          <w:sz w:val="24"/>
          <w:szCs w:val="24"/>
        </w:rPr>
        <w:t xml:space="preserve"> member and would</w:t>
      </w:r>
      <w:r w:rsidRPr="00EC6E87">
        <w:rPr>
          <w:rFonts w:cs="Times New Roman"/>
          <w:sz w:val="24"/>
          <w:szCs w:val="24"/>
        </w:rPr>
        <w:t xml:space="preserve"> coordinate federal efforts on the prudential aspects of international insurance matters, including r</w:t>
      </w:r>
      <w:r w:rsidR="007154D7">
        <w:rPr>
          <w:rFonts w:cs="Times New Roman"/>
          <w:sz w:val="24"/>
          <w:szCs w:val="24"/>
        </w:rPr>
        <w:t>epresenting the United States at</w:t>
      </w:r>
      <w:r w:rsidRPr="00EC6E87">
        <w:rPr>
          <w:rFonts w:cs="Times New Roman"/>
          <w:sz w:val="24"/>
          <w:szCs w:val="24"/>
        </w:rPr>
        <w:t xml:space="preserve"> the International Association of Insurance Supervisors (IAIS) and assisting in the negotiations of c</w:t>
      </w:r>
      <w:r w:rsidR="00192A68" w:rsidRPr="00EC6E87">
        <w:rPr>
          <w:rFonts w:cs="Times New Roman"/>
          <w:sz w:val="24"/>
          <w:szCs w:val="24"/>
        </w:rPr>
        <w:t>overed agreements.  The IIA would</w:t>
      </w:r>
      <w:r w:rsidRPr="00EC6E87">
        <w:rPr>
          <w:rFonts w:cs="Times New Roman"/>
          <w:sz w:val="24"/>
          <w:szCs w:val="24"/>
        </w:rPr>
        <w:t xml:space="preserve"> also consult with state insurance regulators regarding insurance matters of national importance and prudential insurance matters of intern</w:t>
      </w:r>
      <w:r w:rsidR="00AF15E5" w:rsidRPr="00EC6E87">
        <w:rPr>
          <w:rFonts w:cs="Times New Roman"/>
          <w:sz w:val="24"/>
          <w:szCs w:val="24"/>
        </w:rPr>
        <w:t xml:space="preserve">ational importance.  </w:t>
      </w:r>
    </w:p>
    <w:p w14:paraId="557F642A" w14:textId="5CB8B091" w:rsidR="002F31C0" w:rsidRPr="00EC6E87" w:rsidRDefault="00AF15E5" w:rsidP="006E1314">
      <w:pPr>
        <w:rPr>
          <w:rFonts w:eastAsia="Times New Roman" w:cs="Times New Roman"/>
          <w:color w:val="1E1E1E"/>
          <w:sz w:val="24"/>
          <w:szCs w:val="24"/>
        </w:rPr>
      </w:pPr>
      <w:r w:rsidRPr="00EC6E87">
        <w:rPr>
          <w:rFonts w:cs="Times New Roman"/>
          <w:sz w:val="24"/>
          <w:szCs w:val="24"/>
        </w:rPr>
        <w:t xml:space="preserve">And while not directly related to insurance other legislative and regulatory initiatives related to fintech include </w:t>
      </w:r>
      <w:r w:rsidR="007659E9" w:rsidRPr="00EC6E87">
        <w:rPr>
          <w:rFonts w:eastAsia="Times New Roman" w:cs="Times New Roman"/>
          <w:color w:val="1E1E1E"/>
          <w:sz w:val="24"/>
          <w:szCs w:val="24"/>
        </w:rPr>
        <w:t>legislation sponsored by Congressman Pat</w:t>
      </w:r>
      <w:r w:rsidRPr="00EC6E87">
        <w:rPr>
          <w:rFonts w:eastAsia="Times New Roman" w:cs="Times New Roman"/>
          <w:color w:val="1E1E1E"/>
          <w:sz w:val="24"/>
          <w:szCs w:val="24"/>
        </w:rPr>
        <w:t xml:space="preserve">rick Kennedy (R-NC) that would </w:t>
      </w:r>
      <w:r w:rsidR="007659E9" w:rsidRPr="00EC6E87">
        <w:rPr>
          <w:rFonts w:cs="Arial"/>
          <w:color w:val="333333"/>
          <w:sz w:val="24"/>
          <w:szCs w:val="24"/>
        </w:rPr>
        <w:t>require many federal agencies including the Federal Reserve Board, the Treasury Department and the Securities and Exchange Commission to develop an internal “Financial Services Innovation Office” where companies can seek help in testing a product.</w:t>
      </w:r>
      <w:r w:rsidR="007659E9" w:rsidRPr="00EC6E87">
        <w:rPr>
          <w:rFonts w:eastAsia="Times New Roman" w:cs="Times New Roman"/>
          <w:color w:val="1E1E1E"/>
          <w:sz w:val="24"/>
          <w:szCs w:val="24"/>
        </w:rPr>
        <w:t xml:space="preserve">  </w:t>
      </w:r>
      <w:r w:rsidRPr="00EC6E87">
        <w:rPr>
          <w:rFonts w:eastAsia="Times New Roman" w:cs="Times New Roman"/>
          <w:color w:val="1E1E1E"/>
          <w:sz w:val="24"/>
          <w:szCs w:val="24"/>
        </w:rPr>
        <w:t xml:space="preserve"> </w:t>
      </w:r>
      <w:r w:rsidR="00DD6B80" w:rsidRPr="00EC6E87">
        <w:rPr>
          <w:rFonts w:eastAsia="Times New Roman" w:cs="Times New Roman"/>
          <w:color w:val="1E1E1E"/>
          <w:sz w:val="24"/>
          <w:szCs w:val="24"/>
        </w:rPr>
        <w:t>I</w:t>
      </w:r>
      <w:r w:rsidRPr="00EC6E87">
        <w:rPr>
          <w:rFonts w:eastAsia="Times New Roman" w:cs="Times New Roman"/>
          <w:color w:val="1E1E1E"/>
          <w:sz w:val="24"/>
          <w:szCs w:val="24"/>
        </w:rPr>
        <w:t xml:space="preserve">n December 2016 the Office of the Comptroller of the Currency (OCC) published and solicited comments for a paper exploring special purpose bank charters for fintech companies.   </w:t>
      </w:r>
    </w:p>
    <w:p w14:paraId="133292BA" w14:textId="345A9C91" w:rsidR="007659E9" w:rsidRPr="00EC6E87" w:rsidRDefault="002F31C0" w:rsidP="006E1314">
      <w:pPr>
        <w:rPr>
          <w:rFonts w:cs="Times New Roman"/>
          <w:sz w:val="24"/>
          <w:szCs w:val="24"/>
        </w:rPr>
      </w:pPr>
      <w:r w:rsidRPr="00EC6E87">
        <w:rPr>
          <w:rFonts w:eastAsia="Times New Roman" w:cs="Times New Roman"/>
          <w:color w:val="1E1E1E"/>
          <w:sz w:val="24"/>
          <w:szCs w:val="24"/>
        </w:rPr>
        <w:t>A</w:t>
      </w:r>
      <w:r w:rsidR="00DD6B80" w:rsidRPr="00EC6E87">
        <w:rPr>
          <w:rFonts w:eastAsia="Times New Roman" w:cs="Times New Roman"/>
          <w:color w:val="1E1E1E"/>
          <w:sz w:val="24"/>
          <w:szCs w:val="24"/>
        </w:rPr>
        <w:t xml:space="preserve">t the </w:t>
      </w:r>
      <w:r w:rsidRPr="00EC6E87">
        <w:rPr>
          <w:rFonts w:eastAsia="Times New Roman" w:cs="Times New Roman"/>
          <w:color w:val="1E1E1E"/>
          <w:sz w:val="24"/>
          <w:szCs w:val="24"/>
        </w:rPr>
        <w:t>s</w:t>
      </w:r>
      <w:r w:rsidR="00DD6B80" w:rsidRPr="00EC6E87">
        <w:rPr>
          <w:rFonts w:eastAsia="Times New Roman" w:cs="Times New Roman"/>
          <w:color w:val="1E1E1E"/>
          <w:sz w:val="24"/>
          <w:szCs w:val="24"/>
        </w:rPr>
        <w:t>tate level the National Association of Insurance Commissioners (NAIC) announced in early March</w:t>
      </w:r>
      <w:r w:rsidR="007154D7">
        <w:rPr>
          <w:rFonts w:eastAsia="Times New Roman" w:cs="Times New Roman"/>
          <w:color w:val="1E1E1E"/>
          <w:sz w:val="24"/>
          <w:szCs w:val="24"/>
        </w:rPr>
        <w:t xml:space="preserve"> 2017</w:t>
      </w:r>
      <w:r w:rsidR="00DD6B80" w:rsidRPr="00EC6E87">
        <w:rPr>
          <w:rFonts w:eastAsia="Times New Roman" w:cs="Times New Roman"/>
          <w:color w:val="1E1E1E"/>
          <w:sz w:val="24"/>
          <w:szCs w:val="24"/>
        </w:rPr>
        <w:t>, the creation of the Innovation and Technology (EX) Task Force. The Task Force</w:t>
      </w:r>
      <w:r w:rsidRPr="00EC6E87">
        <w:rPr>
          <w:rFonts w:eastAsia="Times New Roman" w:cs="Times New Roman"/>
          <w:color w:val="1E1E1E"/>
          <w:sz w:val="24"/>
          <w:szCs w:val="24"/>
        </w:rPr>
        <w:t xml:space="preserve"> will provide a forum for the discussion of innovation and technology developments in the insurance sector, including the collection and use of data by insurers and state insurance regulators—as well as new products, services and distribution platforms—in order to educate state insurance regulators on how these developments impact consumer protection, insurer </w:t>
      </w:r>
      <w:r w:rsidRPr="00EC6E87">
        <w:rPr>
          <w:rFonts w:eastAsia="Times New Roman" w:cs="Times New Roman"/>
          <w:color w:val="1E1E1E"/>
          <w:sz w:val="24"/>
          <w:szCs w:val="24"/>
        </w:rPr>
        <w:lastRenderedPageBreak/>
        <w:t>and producer oversight, marketplace dynamics, and the state-based insurance regulatory framework.</w:t>
      </w:r>
    </w:p>
    <w:p w14:paraId="16339987" w14:textId="77777777" w:rsidR="009D2A9E" w:rsidRPr="00EC6E87" w:rsidRDefault="002D7A28" w:rsidP="00430C62">
      <w:pPr>
        <w:pStyle w:val="Default"/>
        <w:spacing w:before="100" w:beforeAutospacing="1"/>
        <w:rPr>
          <w:rFonts w:asciiTheme="minorHAnsi" w:eastAsia="Times New Roman" w:hAnsiTheme="minorHAnsi" w:cs="Arial"/>
          <w:b/>
          <w:color w:val="333333"/>
          <w:lang w:val="en"/>
        </w:rPr>
      </w:pPr>
      <w:r w:rsidRPr="00EC6E87">
        <w:rPr>
          <w:rFonts w:asciiTheme="minorHAnsi" w:eastAsia="Times New Roman" w:hAnsiTheme="minorHAnsi" w:cs="Arial"/>
          <w:b/>
          <w:color w:val="333333"/>
          <w:lang w:val="en"/>
        </w:rPr>
        <w:t xml:space="preserve">An </w:t>
      </w:r>
      <w:r w:rsidR="00AC60F2" w:rsidRPr="00EC6E87">
        <w:rPr>
          <w:rFonts w:asciiTheme="minorHAnsi" w:eastAsia="Times New Roman" w:hAnsiTheme="minorHAnsi" w:cs="Arial"/>
          <w:b/>
          <w:color w:val="333333"/>
          <w:lang w:val="en"/>
        </w:rPr>
        <w:t>I</w:t>
      </w:r>
      <w:r w:rsidR="009D2A9E" w:rsidRPr="00EC6E87">
        <w:rPr>
          <w:rFonts w:asciiTheme="minorHAnsi" w:eastAsia="Times New Roman" w:hAnsiTheme="minorHAnsi" w:cs="Arial"/>
          <w:b/>
          <w:color w:val="333333"/>
          <w:lang w:val="en"/>
        </w:rPr>
        <w:t>nsurtech gr</w:t>
      </w:r>
      <w:r w:rsidR="001275E0" w:rsidRPr="00EC6E87">
        <w:rPr>
          <w:rFonts w:asciiTheme="minorHAnsi" w:eastAsia="Times New Roman" w:hAnsiTheme="minorHAnsi" w:cs="Arial"/>
          <w:b/>
          <w:color w:val="333333"/>
          <w:lang w:val="en"/>
        </w:rPr>
        <w:t>eenhouse</w:t>
      </w:r>
    </w:p>
    <w:p w14:paraId="54958D1C" w14:textId="2C6E580C" w:rsidR="00AB1FE9" w:rsidRPr="00EC6E87" w:rsidRDefault="00754659" w:rsidP="007659E9">
      <w:pPr>
        <w:rPr>
          <w:rFonts w:eastAsia="Times New Roman" w:cs="Times New Roman"/>
          <w:color w:val="1E1E1E"/>
          <w:sz w:val="24"/>
          <w:szCs w:val="24"/>
        </w:rPr>
      </w:pPr>
      <w:r w:rsidRPr="00EC6E87">
        <w:rPr>
          <w:rFonts w:eastAsia="Times New Roman" w:cs="Times New Roman"/>
          <w:color w:val="1E1E1E"/>
          <w:sz w:val="24"/>
          <w:szCs w:val="24"/>
        </w:rPr>
        <w:t xml:space="preserve">The tremendous potential of fintech should cause regulators to find the right balance between fostering innovation and protecting consumers.  </w:t>
      </w:r>
      <w:r w:rsidR="00AB1FE9" w:rsidRPr="00EC6E87">
        <w:rPr>
          <w:rFonts w:eastAsia="Times New Roman" w:cs="Times New Roman"/>
          <w:color w:val="1E1E1E"/>
          <w:sz w:val="24"/>
          <w:szCs w:val="24"/>
        </w:rPr>
        <w:t>As the OECD has pointed out in its report on technology and innovation in the insurance sector, there are regulatory and competition considerations that need to be made as disruption to the industry is often about new market entries as well as new modes of service provision which may not fit t</w:t>
      </w:r>
      <w:r w:rsidR="007154D7">
        <w:rPr>
          <w:rFonts w:eastAsia="Times New Roman" w:cs="Times New Roman"/>
          <w:color w:val="1E1E1E"/>
          <w:sz w:val="24"/>
          <w:szCs w:val="24"/>
        </w:rPr>
        <w:t>he mode in which regulations were</w:t>
      </w:r>
      <w:r w:rsidR="00AB1FE9" w:rsidRPr="00EC6E87">
        <w:rPr>
          <w:rFonts w:eastAsia="Times New Roman" w:cs="Times New Roman"/>
          <w:color w:val="1E1E1E"/>
          <w:sz w:val="24"/>
          <w:szCs w:val="24"/>
        </w:rPr>
        <w:t xml:space="preserve"> </w:t>
      </w:r>
      <w:r w:rsidR="007154D7">
        <w:rPr>
          <w:rFonts w:eastAsia="Times New Roman" w:cs="Times New Roman"/>
          <w:color w:val="1E1E1E"/>
          <w:sz w:val="24"/>
          <w:szCs w:val="24"/>
        </w:rPr>
        <w:t>originally conceived</w:t>
      </w:r>
      <w:r w:rsidR="00AB1FE9" w:rsidRPr="00EC6E87">
        <w:rPr>
          <w:rFonts w:eastAsia="Times New Roman" w:cs="Times New Roman"/>
          <w:color w:val="1E1E1E"/>
          <w:sz w:val="24"/>
          <w:szCs w:val="24"/>
        </w:rPr>
        <w:t xml:space="preserve">.  There are also wider privacy and data protection issues which require close attention given that insurtech usually involves a digital component to the technology. </w:t>
      </w:r>
      <w:r w:rsidR="00BC4A3F" w:rsidRPr="00EC6E87">
        <w:rPr>
          <w:rStyle w:val="FootnoteReference"/>
          <w:rFonts w:eastAsia="Times New Roman" w:cs="Times New Roman"/>
          <w:color w:val="1E1E1E"/>
          <w:sz w:val="24"/>
          <w:szCs w:val="24"/>
        </w:rPr>
        <w:footnoteReference w:id="14"/>
      </w:r>
      <w:r w:rsidR="00AB1FE9" w:rsidRPr="00EC6E87">
        <w:rPr>
          <w:rFonts w:eastAsia="Times New Roman" w:cs="Times New Roman"/>
          <w:color w:val="1E1E1E"/>
          <w:sz w:val="24"/>
          <w:szCs w:val="24"/>
        </w:rPr>
        <w:t xml:space="preserve"> </w:t>
      </w:r>
    </w:p>
    <w:p w14:paraId="08534670" w14:textId="77777777" w:rsidR="007659E9" w:rsidRPr="00EC6E87" w:rsidRDefault="007659E9" w:rsidP="007659E9">
      <w:pPr>
        <w:rPr>
          <w:rFonts w:cs="Arial"/>
          <w:color w:val="333333"/>
          <w:sz w:val="24"/>
          <w:szCs w:val="24"/>
          <w:lang w:val="en"/>
        </w:rPr>
      </w:pPr>
      <w:r w:rsidRPr="00EC6E87">
        <w:rPr>
          <w:rFonts w:cs="Arial"/>
          <w:color w:val="333333"/>
          <w:sz w:val="24"/>
          <w:szCs w:val="24"/>
          <w:lang w:val="en"/>
        </w:rPr>
        <w:t xml:space="preserve">The US-EU covered agreement is historic in many respects, but </w:t>
      </w:r>
      <w:r w:rsidRPr="00EC6E87">
        <w:rPr>
          <w:sz w:val="24"/>
          <w:szCs w:val="24"/>
        </w:rPr>
        <w:t xml:space="preserve">Brexit would remove the UK from obligations negotiated within the Covered Agreement and require </w:t>
      </w:r>
      <w:r w:rsidR="00754659" w:rsidRPr="00EC6E87">
        <w:rPr>
          <w:sz w:val="24"/>
          <w:szCs w:val="24"/>
        </w:rPr>
        <w:t xml:space="preserve">both countries to seek a new agreement to </w:t>
      </w:r>
      <w:r w:rsidRPr="00EC6E87">
        <w:rPr>
          <w:sz w:val="24"/>
          <w:szCs w:val="24"/>
        </w:rPr>
        <w:t xml:space="preserve">discuss </w:t>
      </w:r>
      <w:r w:rsidR="00754659" w:rsidRPr="00EC6E87">
        <w:rPr>
          <w:sz w:val="24"/>
          <w:szCs w:val="24"/>
        </w:rPr>
        <w:t xml:space="preserve">bilateral prudential related insurance </w:t>
      </w:r>
      <w:r w:rsidRPr="00EC6E87">
        <w:rPr>
          <w:sz w:val="24"/>
          <w:szCs w:val="24"/>
        </w:rPr>
        <w:t xml:space="preserve">issues.    </w:t>
      </w:r>
      <w:r w:rsidR="005C6D67" w:rsidRPr="00EC6E87">
        <w:rPr>
          <w:rFonts w:eastAsia="Times New Roman" w:cs="Times New Roman"/>
          <w:color w:val="1E1E1E"/>
          <w:sz w:val="24"/>
          <w:szCs w:val="24"/>
        </w:rPr>
        <w:t>The UK has already established a fintech “regulatory sandbox” to provide a mechanism for fintech firms (including insurtech companies) to test products, services, business models and delivery mechanisms</w:t>
      </w:r>
      <w:r w:rsidR="00A40E8B" w:rsidRPr="00EC6E87">
        <w:rPr>
          <w:rFonts w:eastAsia="Times New Roman" w:cs="Times New Roman"/>
          <w:color w:val="1E1E1E"/>
          <w:sz w:val="24"/>
          <w:szCs w:val="24"/>
        </w:rPr>
        <w:t xml:space="preserve"> without fear of enforcement actions or regulatory reprisals whose impact can be devastating to a start-up firm with limited capital</w:t>
      </w:r>
      <w:r w:rsidR="005C6D67" w:rsidRPr="00EC6E87">
        <w:rPr>
          <w:rFonts w:eastAsia="Times New Roman" w:cs="Times New Roman"/>
          <w:color w:val="1E1E1E"/>
          <w:sz w:val="24"/>
          <w:szCs w:val="24"/>
        </w:rPr>
        <w:t xml:space="preserve">.   </w:t>
      </w:r>
    </w:p>
    <w:p w14:paraId="7DC1F34D" w14:textId="1269C224" w:rsidR="00870B85" w:rsidRPr="00482CF1" w:rsidRDefault="00D83DE8" w:rsidP="00430C62">
      <w:pPr>
        <w:pStyle w:val="Default"/>
        <w:spacing w:before="100" w:beforeAutospacing="1"/>
        <w:rPr>
          <w:rFonts w:asciiTheme="minorHAnsi" w:eastAsia="Times New Roman" w:hAnsiTheme="minorHAnsi" w:cs="Arial"/>
          <w:color w:val="333333"/>
          <w:lang w:val="en"/>
        </w:rPr>
      </w:pPr>
      <w:r w:rsidRPr="00EC6E87">
        <w:rPr>
          <w:rFonts w:asciiTheme="minorHAnsi" w:eastAsia="Times New Roman" w:hAnsiTheme="minorHAnsi" w:cs="Arial"/>
          <w:color w:val="333333"/>
          <w:lang w:val="en"/>
        </w:rPr>
        <w:t xml:space="preserve">On January 26, 2017 </w:t>
      </w:r>
      <w:r w:rsidR="009600B1" w:rsidRPr="00EC6E87">
        <w:rPr>
          <w:rFonts w:asciiTheme="minorHAnsi" w:eastAsia="Times New Roman" w:hAnsiTheme="minorHAnsi" w:cs="Arial"/>
          <w:color w:val="333333"/>
          <w:lang w:val="en"/>
        </w:rPr>
        <w:t>UK’s Financial Conduct Authority</w:t>
      </w:r>
      <w:r w:rsidRPr="00EC6E87">
        <w:rPr>
          <w:rFonts w:asciiTheme="minorHAnsi" w:eastAsia="Times New Roman" w:hAnsiTheme="minorHAnsi" w:cs="Arial"/>
          <w:color w:val="333333"/>
          <w:lang w:val="en"/>
        </w:rPr>
        <w:t xml:space="preserve"> </w:t>
      </w:r>
      <w:r w:rsidR="004632A4" w:rsidRPr="00EC6E87">
        <w:rPr>
          <w:rFonts w:asciiTheme="minorHAnsi" w:eastAsia="Times New Roman" w:hAnsiTheme="minorHAnsi" w:cs="Arial"/>
          <w:color w:val="333333"/>
          <w:lang w:val="en"/>
        </w:rPr>
        <w:t xml:space="preserve">(FCA) </w:t>
      </w:r>
      <w:r w:rsidRPr="00EC6E87">
        <w:rPr>
          <w:rFonts w:asciiTheme="minorHAnsi" w:eastAsia="Times New Roman" w:hAnsiTheme="minorHAnsi" w:cs="Arial"/>
          <w:color w:val="333333"/>
          <w:lang w:val="en"/>
        </w:rPr>
        <w:t xml:space="preserve">Chief Executive Andrew Bailey gave remarks at the Economic Council Financial Markets Policy Conference in Berlin where he stressed the need for global regulatory standards as the basis to govern market access for financial services firms.   </w:t>
      </w:r>
      <w:r w:rsidR="00870B85" w:rsidRPr="00EC6E87">
        <w:rPr>
          <w:rFonts w:asciiTheme="minorHAnsi" w:eastAsia="Times New Roman" w:hAnsiTheme="minorHAnsi" w:cs="Arial"/>
          <w:color w:val="333333"/>
          <w:lang w:val="en"/>
        </w:rPr>
        <w:t xml:space="preserve">And in February 2017, the UK FCA and the Ontario Securities Commission of Canada signed an agreement to share information on regulatory issues and trends impact fintech.  This agreement between Canada and UK provides a template for the first true cross-border regulatory collaboration within the fintech space.  </w:t>
      </w:r>
      <w:r w:rsidR="00DE703D">
        <w:rPr>
          <w:rFonts w:asciiTheme="minorHAnsi" w:eastAsia="Times New Roman" w:hAnsiTheme="minorHAnsi" w:cs="Arial"/>
          <w:color w:val="333333"/>
          <w:lang w:val="en"/>
        </w:rPr>
        <w:t xml:space="preserve"> </w:t>
      </w:r>
      <w:r w:rsidR="00DE703D" w:rsidRPr="00482CF1">
        <w:rPr>
          <w:rFonts w:asciiTheme="minorHAnsi" w:eastAsia="Times New Roman" w:hAnsiTheme="minorHAnsi" w:cs="Arial"/>
          <w:color w:val="333333"/>
          <w:lang w:val="en"/>
        </w:rPr>
        <w:t xml:space="preserve">Currently the United States does not have a similar cross-border mechanism in place.  </w:t>
      </w:r>
    </w:p>
    <w:p w14:paraId="149FCF28" w14:textId="77777777" w:rsidR="005D7FD3" w:rsidRPr="00EC6E87" w:rsidRDefault="009600B1" w:rsidP="00430C62">
      <w:pPr>
        <w:pStyle w:val="Default"/>
        <w:spacing w:before="100" w:beforeAutospacing="1"/>
        <w:rPr>
          <w:rFonts w:asciiTheme="minorHAnsi" w:eastAsia="Times New Roman" w:hAnsiTheme="minorHAnsi" w:cs="Arial"/>
          <w:color w:val="333333"/>
          <w:lang w:val="en"/>
        </w:rPr>
      </w:pPr>
      <w:r w:rsidRPr="00EC6E87">
        <w:rPr>
          <w:rFonts w:asciiTheme="minorHAnsi" w:eastAsia="Times New Roman" w:hAnsiTheme="minorHAnsi" w:cs="Arial"/>
          <w:color w:val="333333"/>
          <w:lang w:val="en"/>
        </w:rPr>
        <w:t>Given that the Trump Adminis</w:t>
      </w:r>
      <w:r w:rsidR="00134B99" w:rsidRPr="00EC6E87">
        <w:rPr>
          <w:rFonts w:asciiTheme="minorHAnsi" w:eastAsia="Times New Roman" w:hAnsiTheme="minorHAnsi" w:cs="Arial"/>
          <w:color w:val="333333"/>
          <w:lang w:val="en"/>
        </w:rPr>
        <w:t>tration is evaluating international agreements</w:t>
      </w:r>
      <w:r w:rsidRPr="00EC6E87">
        <w:rPr>
          <w:rFonts w:asciiTheme="minorHAnsi" w:eastAsia="Times New Roman" w:hAnsiTheme="minorHAnsi" w:cs="Arial"/>
          <w:color w:val="333333"/>
          <w:lang w:val="en"/>
        </w:rPr>
        <w:t xml:space="preserve">, </w:t>
      </w:r>
      <w:r w:rsidR="00A40E8B" w:rsidRPr="00EC6E87">
        <w:rPr>
          <w:rFonts w:asciiTheme="minorHAnsi" w:eastAsia="Times New Roman" w:hAnsiTheme="minorHAnsi" w:cs="Arial"/>
          <w:color w:val="333333"/>
          <w:lang w:val="en"/>
        </w:rPr>
        <w:t>and an opportunity will soon present itself to partner</w:t>
      </w:r>
      <w:r w:rsidR="006A52C4" w:rsidRPr="00EC6E87">
        <w:rPr>
          <w:rFonts w:asciiTheme="minorHAnsi" w:eastAsia="Times New Roman" w:hAnsiTheme="minorHAnsi" w:cs="Arial"/>
          <w:color w:val="333333"/>
          <w:lang w:val="en"/>
        </w:rPr>
        <w:t xml:space="preserve"> with a country with experience in establishing a regulatory sandbox, </w:t>
      </w:r>
      <w:r w:rsidRPr="00EC6E87">
        <w:rPr>
          <w:rFonts w:asciiTheme="minorHAnsi" w:eastAsia="Times New Roman" w:hAnsiTheme="minorHAnsi" w:cs="Arial"/>
          <w:color w:val="333333"/>
          <w:lang w:val="en"/>
        </w:rPr>
        <w:t>serious consideration should be giv</w:t>
      </w:r>
      <w:r w:rsidR="002D7A28" w:rsidRPr="00EC6E87">
        <w:rPr>
          <w:rFonts w:asciiTheme="minorHAnsi" w:eastAsia="Times New Roman" w:hAnsiTheme="minorHAnsi" w:cs="Arial"/>
          <w:color w:val="333333"/>
          <w:lang w:val="en"/>
        </w:rPr>
        <w:t>en to the creation of a</w:t>
      </w:r>
      <w:r w:rsidR="00AC60F2" w:rsidRPr="00EC6E87">
        <w:rPr>
          <w:rFonts w:asciiTheme="minorHAnsi" w:eastAsia="Times New Roman" w:hAnsiTheme="minorHAnsi" w:cs="Arial"/>
          <w:color w:val="333333"/>
          <w:lang w:val="en"/>
        </w:rPr>
        <w:t>n</w:t>
      </w:r>
      <w:r w:rsidR="002D7A28" w:rsidRPr="00EC6E87">
        <w:rPr>
          <w:rFonts w:asciiTheme="minorHAnsi" w:eastAsia="Times New Roman" w:hAnsiTheme="minorHAnsi" w:cs="Arial"/>
          <w:color w:val="333333"/>
          <w:lang w:val="en"/>
        </w:rPr>
        <w:t xml:space="preserve"> </w:t>
      </w:r>
      <w:r w:rsidR="00134B99" w:rsidRPr="00EC6E87">
        <w:rPr>
          <w:rFonts w:asciiTheme="minorHAnsi" w:eastAsia="Times New Roman" w:hAnsiTheme="minorHAnsi" w:cs="Arial"/>
          <w:color w:val="333333"/>
          <w:lang w:val="en"/>
        </w:rPr>
        <w:t xml:space="preserve">US-UK </w:t>
      </w:r>
      <w:r w:rsidR="002D7A28" w:rsidRPr="00EC6E87">
        <w:rPr>
          <w:rFonts w:asciiTheme="minorHAnsi" w:eastAsia="Times New Roman" w:hAnsiTheme="minorHAnsi" w:cs="Arial"/>
          <w:color w:val="333333"/>
          <w:lang w:val="en"/>
        </w:rPr>
        <w:t xml:space="preserve">insurtech </w:t>
      </w:r>
      <w:r w:rsidRPr="00EC6E87">
        <w:rPr>
          <w:rFonts w:asciiTheme="minorHAnsi" w:eastAsia="Times New Roman" w:hAnsiTheme="minorHAnsi" w:cs="Arial"/>
          <w:color w:val="333333"/>
          <w:lang w:val="en"/>
        </w:rPr>
        <w:t xml:space="preserve">cross border regulatory “greenhouse.”  </w:t>
      </w:r>
      <w:r w:rsidR="00D83DE8" w:rsidRPr="00EC6E87">
        <w:rPr>
          <w:rFonts w:asciiTheme="minorHAnsi" w:eastAsia="Times New Roman" w:hAnsiTheme="minorHAnsi" w:cs="Arial"/>
          <w:color w:val="333333"/>
          <w:lang w:val="en"/>
        </w:rPr>
        <w:t xml:space="preserve">(a greenhouse connotes an environment where living things can grow and be nurtured as opposed to a sandbox which delineates boundaries).  </w:t>
      </w:r>
      <w:r w:rsidR="00AC60F2" w:rsidRPr="00EC6E87">
        <w:rPr>
          <w:rFonts w:asciiTheme="minorHAnsi" w:eastAsia="Times New Roman" w:hAnsiTheme="minorHAnsi" w:cs="Arial"/>
          <w:color w:val="333333"/>
          <w:lang w:val="en"/>
        </w:rPr>
        <w:t xml:space="preserve">Initially established as a pilot project, the Greenhouse would provide an opportunity for both U.S. and UK insurtech companies to </w:t>
      </w:r>
      <w:r w:rsidR="00243E74" w:rsidRPr="00EC6E87">
        <w:rPr>
          <w:rFonts w:asciiTheme="minorHAnsi" w:eastAsia="Times New Roman" w:hAnsiTheme="minorHAnsi" w:cs="Arial"/>
          <w:color w:val="333333"/>
          <w:lang w:val="en"/>
        </w:rPr>
        <w:t xml:space="preserve">beta </w:t>
      </w:r>
      <w:r w:rsidR="00AC60F2" w:rsidRPr="00EC6E87">
        <w:rPr>
          <w:rFonts w:asciiTheme="minorHAnsi" w:eastAsia="Times New Roman" w:hAnsiTheme="minorHAnsi" w:cs="Arial"/>
          <w:color w:val="333333"/>
          <w:lang w:val="en"/>
        </w:rPr>
        <w:t>test products, provide regulators with data resulting from those tests</w:t>
      </w:r>
      <w:r w:rsidR="001C48F1" w:rsidRPr="00EC6E87">
        <w:rPr>
          <w:rFonts w:asciiTheme="minorHAnsi" w:eastAsia="Times New Roman" w:hAnsiTheme="minorHAnsi" w:cs="Arial"/>
          <w:color w:val="333333"/>
          <w:lang w:val="en"/>
        </w:rPr>
        <w:t xml:space="preserve"> and ensure that the data is protected</w:t>
      </w:r>
      <w:r w:rsidR="00AC60F2" w:rsidRPr="00EC6E87">
        <w:rPr>
          <w:rFonts w:asciiTheme="minorHAnsi" w:eastAsia="Times New Roman" w:hAnsiTheme="minorHAnsi" w:cs="Arial"/>
          <w:color w:val="333333"/>
          <w:lang w:val="en"/>
        </w:rPr>
        <w:t xml:space="preserve">, and </w:t>
      </w:r>
      <w:r w:rsidR="001C48F1" w:rsidRPr="00EC6E87">
        <w:rPr>
          <w:rFonts w:asciiTheme="minorHAnsi" w:eastAsia="Times New Roman" w:hAnsiTheme="minorHAnsi" w:cs="Arial"/>
          <w:color w:val="333333"/>
          <w:lang w:val="en"/>
        </w:rPr>
        <w:t xml:space="preserve">then </w:t>
      </w:r>
      <w:r w:rsidR="00AC60F2" w:rsidRPr="00EC6E87">
        <w:rPr>
          <w:rFonts w:asciiTheme="minorHAnsi" w:eastAsia="Times New Roman" w:hAnsiTheme="minorHAnsi" w:cs="Arial"/>
          <w:color w:val="333333"/>
          <w:lang w:val="en"/>
        </w:rPr>
        <w:t xml:space="preserve">determine jointly which companies are prepared for chartering and licensing.   </w:t>
      </w:r>
    </w:p>
    <w:p w14:paraId="51DAE083" w14:textId="77C22E2C" w:rsidR="00905F7C" w:rsidRPr="00EC6E87" w:rsidRDefault="00AC60F2" w:rsidP="00430C62">
      <w:pPr>
        <w:pStyle w:val="Default"/>
        <w:spacing w:before="100" w:beforeAutospacing="1"/>
        <w:rPr>
          <w:rFonts w:asciiTheme="minorHAnsi" w:eastAsia="Times New Roman" w:hAnsiTheme="minorHAnsi" w:cs="Arial"/>
          <w:color w:val="333333"/>
          <w:lang w:val="en"/>
        </w:rPr>
      </w:pPr>
      <w:r w:rsidRPr="00EC6E87">
        <w:rPr>
          <w:rFonts w:asciiTheme="minorHAnsi" w:eastAsia="Times New Roman" w:hAnsiTheme="minorHAnsi" w:cs="Arial"/>
          <w:color w:val="333333"/>
          <w:lang w:val="en"/>
        </w:rPr>
        <w:lastRenderedPageBreak/>
        <w:t xml:space="preserve">The </w:t>
      </w:r>
      <w:r w:rsidR="00134B99" w:rsidRPr="00EC6E87">
        <w:rPr>
          <w:rFonts w:asciiTheme="minorHAnsi" w:eastAsia="Times New Roman" w:hAnsiTheme="minorHAnsi" w:cs="Arial"/>
          <w:color w:val="333333"/>
          <w:lang w:val="en"/>
        </w:rPr>
        <w:t xml:space="preserve">vehicle to establish the </w:t>
      </w:r>
      <w:r w:rsidRPr="00EC6E87">
        <w:rPr>
          <w:rFonts w:asciiTheme="minorHAnsi" w:eastAsia="Times New Roman" w:hAnsiTheme="minorHAnsi" w:cs="Arial"/>
          <w:color w:val="333333"/>
          <w:lang w:val="en"/>
        </w:rPr>
        <w:t>Insurt</w:t>
      </w:r>
      <w:r w:rsidR="009600B1" w:rsidRPr="00EC6E87">
        <w:rPr>
          <w:rFonts w:asciiTheme="minorHAnsi" w:eastAsia="Times New Roman" w:hAnsiTheme="minorHAnsi" w:cs="Arial"/>
          <w:color w:val="333333"/>
          <w:lang w:val="en"/>
        </w:rPr>
        <w:t>ech greenhou</w:t>
      </w:r>
      <w:r w:rsidRPr="00EC6E87">
        <w:rPr>
          <w:rFonts w:asciiTheme="minorHAnsi" w:eastAsia="Times New Roman" w:hAnsiTheme="minorHAnsi" w:cs="Arial"/>
          <w:color w:val="333333"/>
          <w:lang w:val="en"/>
        </w:rPr>
        <w:t xml:space="preserve">se could be part of a new </w:t>
      </w:r>
      <w:r w:rsidR="004632A4" w:rsidRPr="00EC6E87">
        <w:rPr>
          <w:rFonts w:asciiTheme="minorHAnsi" w:eastAsia="Times New Roman" w:hAnsiTheme="minorHAnsi" w:cs="Arial"/>
          <w:color w:val="333333"/>
          <w:lang w:val="en"/>
        </w:rPr>
        <w:t xml:space="preserve">bilateral </w:t>
      </w:r>
      <w:r w:rsidR="005B3EA7" w:rsidRPr="00EC6E87">
        <w:rPr>
          <w:rFonts w:asciiTheme="minorHAnsi" w:hAnsiTheme="minorHAnsi"/>
          <w:color w:val="3F3F3F"/>
          <w:shd w:val="clear" w:color="auto" w:fill="FFFFFF"/>
        </w:rPr>
        <w:t>pro-FinTech Co-operation Framework</w:t>
      </w:r>
      <w:r w:rsidR="005B3EA7" w:rsidRPr="00EC6E87">
        <w:rPr>
          <w:rStyle w:val="apple-converted-space"/>
          <w:rFonts w:asciiTheme="minorHAnsi" w:hAnsiTheme="minorHAnsi"/>
          <w:color w:val="3F3F3F"/>
          <w:shd w:val="clear" w:color="auto" w:fill="FFFFFF"/>
        </w:rPr>
        <w:t> </w:t>
      </w:r>
      <w:r w:rsidR="005B3EA7" w:rsidRPr="00EC6E87">
        <w:rPr>
          <w:rFonts w:asciiTheme="minorHAnsi" w:eastAsia="Times New Roman" w:hAnsiTheme="minorHAnsi" w:cs="Arial"/>
          <w:color w:val="333333"/>
          <w:lang w:val="en"/>
        </w:rPr>
        <w:t>between</w:t>
      </w:r>
      <w:r w:rsidR="004632A4" w:rsidRPr="00EC6E87">
        <w:rPr>
          <w:rFonts w:asciiTheme="minorHAnsi" w:eastAsia="Times New Roman" w:hAnsiTheme="minorHAnsi" w:cs="Arial"/>
          <w:color w:val="333333"/>
          <w:lang w:val="en"/>
        </w:rPr>
        <w:t xml:space="preserve"> the </w:t>
      </w:r>
      <w:r w:rsidR="005B3EA7" w:rsidRPr="00EC6E87">
        <w:rPr>
          <w:rFonts w:asciiTheme="minorHAnsi" w:eastAsia="Times New Roman" w:hAnsiTheme="minorHAnsi" w:cs="Arial"/>
          <w:color w:val="333333"/>
          <w:lang w:val="en"/>
        </w:rPr>
        <w:t xml:space="preserve">state insurance regulators in the </w:t>
      </w:r>
      <w:r w:rsidR="007154D7">
        <w:rPr>
          <w:rFonts w:asciiTheme="minorHAnsi" w:eastAsia="Times New Roman" w:hAnsiTheme="minorHAnsi" w:cs="Arial"/>
          <w:color w:val="333333"/>
          <w:lang w:val="en"/>
        </w:rPr>
        <w:t>United States</w:t>
      </w:r>
      <w:r w:rsidR="005B3EA7" w:rsidRPr="00EC6E87">
        <w:rPr>
          <w:rFonts w:asciiTheme="minorHAnsi" w:eastAsia="Times New Roman" w:hAnsiTheme="minorHAnsi" w:cs="Arial"/>
          <w:color w:val="333333"/>
          <w:lang w:val="en"/>
        </w:rPr>
        <w:t xml:space="preserve"> and </w:t>
      </w:r>
      <w:r w:rsidR="007154D7">
        <w:rPr>
          <w:rFonts w:asciiTheme="minorHAnsi" w:eastAsia="Times New Roman" w:hAnsiTheme="minorHAnsi" w:cs="Arial"/>
          <w:color w:val="333333"/>
          <w:lang w:val="en"/>
        </w:rPr>
        <w:t>the UK FCA</w:t>
      </w:r>
      <w:r w:rsidR="005B3EA7" w:rsidRPr="00EC6E87">
        <w:rPr>
          <w:rFonts w:asciiTheme="minorHAnsi" w:eastAsia="Times New Roman" w:hAnsiTheme="minorHAnsi" w:cs="Arial"/>
          <w:color w:val="333333"/>
          <w:lang w:val="en"/>
        </w:rPr>
        <w:t xml:space="preserve">. </w:t>
      </w:r>
      <w:r w:rsidR="00EC6E87" w:rsidRPr="00EC6E87">
        <w:rPr>
          <w:rFonts w:asciiTheme="minorHAnsi" w:eastAsia="Times New Roman" w:hAnsiTheme="minorHAnsi" w:cs="Arial"/>
          <w:color w:val="333333"/>
          <w:lang w:val="en"/>
        </w:rPr>
        <w:t xml:space="preserve"> </w:t>
      </w:r>
      <w:r w:rsidR="005B3EA7" w:rsidRPr="00EC6E87">
        <w:rPr>
          <w:rFonts w:asciiTheme="minorHAnsi" w:eastAsia="Times New Roman" w:hAnsiTheme="minorHAnsi" w:cs="Arial"/>
          <w:color w:val="333333"/>
          <w:lang w:val="en"/>
        </w:rPr>
        <w:t xml:space="preserve">The </w:t>
      </w:r>
      <w:r w:rsidR="00EB387B" w:rsidRPr="00EC6E87">
        <w:rPr>
          <w:rFonts w:asciiTheme="minorHAnsi" w:eastAsia="Times New Roman" w:hAnsiTheme="minorHAnsi" w:cs="Arial"/>
          <w:color w:val="333333"/>
          <w:lang w:val="en"/>
        </w:rPr>
        <w:t xml:space="preserve">Department of Commerce </w:t>
      </w:r>
      <w:r w:rsidR="005B3EA7" w:rsidRPr="00EC6E87">
        <w:rPr>
          <w:rFonts w:asciiTheme="minorHAnsi" w:eastAsia="Times New Roman" w:hAnsiTheme="minorHAnsi" w:cs="Arial"/>
          <w:color w:val="333333"/>
          <w:lang w:val="en"/>
        </w:rPr>
        <w:t xml:space="preserve">could </w:t>
      </w:r>
      <w:r w:rsidR="00AF2E98" w:rsidRPr="00EC6E87">
        <w:rPr>
          <w:rFonts w:asciiTheme="minorHAnsi" w:eastAsia="Times New Roman" w:hAnsiTheme="minorHAnsi" w:cs="Arial"/>
          <w:color w:val="333333"/>
          <w:lang w:val="en"/>
        </w:rPr>
        <w:t>play an important</w:t>
      </w:r>
      <w:r w:rsidR="005B3EA7" w:rsidRPr="00EC6E87">
        <w:rPr>
          <w:rFonts w:asciiTheme="minorHAnsi" w:eastAsia="Times New Roman" w:hAnsiTheme="minorHAnsi" w:cs="Arial"/>
          <w:color w:val="333333"/>
          <w:lang w:val="en"/>
        </w:rPr>
        <w:t xml:space="preserve"> role in </w:t>
      </w:r>
      <w:r w:rsidR="00EB387B" w:rsidRPr="00EC6E87">
        <w:rPr>
          <w:rFonts w:asciiTheme="minorHAnsi" w:eastAsia="Times New Roman" w:hAnsiTheme="minorHAnsi" w:cs="Arial"/>
          <w:color w:val="333333"/>
          <w:lang w:val="en"/>
        </w:rPr>
        <w:t>promot</w:t>
      </w:r>
      <w:r w:rsidR="005B3EA7" w:rsidRPr="00EC6E87">
        <w:rPr>
          <w:rFonts w:asciiTheme="minorHAnsi" w:eastAsia="Times New Roman" w:hAnsiTheme="minorHAnsi" w:cs="Arial"/>
          <w:color w:val="333333"/>
          <w:lang w:val="en"/>
        </w:rPr>
        <w:t>ing</w:t>
      </w:r>
      <w:r w:rsidR="00EB387B" w:rsidRPr="00EC6E87">
        <w:rPr>
          <w:rFonts w:asciiTheme="minorHAnsi" w:eastAsia="Times New Roman" w:hAnsiTheme="minorHAnsi" w:cs="Arial"/>
          <w:color w:val="333333"/>
          <w:lang w:val="en"/>
        </w:rPr>
        <w:t xml:space="preserve"> and highlight</w:t>
      </w:r>
      <w:r w:rsidR="005B3EA7" w:rsidRPr="00EC6E87">
        <w:rPr>
          <w:rFonts w:asciiTheme="minorHAnsi" w:eastAsia="Times New Roman" w:hAnsiTheme="minorHAnsi" w:cs="Arial"/>
          <w:color w:val="333333"/>
          <w:lang w:val="en"/>
        </w:rPr>
        <w:t>ing</w:t>
      </w:r>
      <w:r w:rsidR="00EB387B" w:rsidRPr="00EC6E87">
        <w:rPr>
          <w:rFonts w:asciiTheme="minorHAnsi" w:eastAsia="Times New Roman" w:hAnsiTheme="minorHAnsi" w:cs="Arial"/>
          <w:color w:val="333333"/>
          <w:lang w:val="en"/>
        </w:rPr>
        <w:t xml:space="preserve"> ways that new insurtech companies would gain access to the greenhouse.  </w:t>
      </w:r>
      <w:r w:rsidR="006A52C4" w:rsidRPr="00EC6E87">
        <w:rPr>
          <w:rFonts w:asciiTheme="minorHAnsi" w:eastAsia="Times New Roman" w:hAnsiTheme="minorHAnsi" w:cs="Arial"/>
          <w:color w:val="333333"/>
          <w:lang w:val="en"/>
        </w:rPr>
        <w:t>In addition, c</w:t>
      </w:r>
      <w:r w:rsidR="00995B08" w:rsidRPr="00EC6E87">
        <w:rPr>
          <w:rFonts w:asciiTheme="minorHAnsi" w:eastAsia="Times New Roman" w:hAnsiTheme="minorHAnsi" w:cs="Arial"/>
          <w:color w:val="333333"/>
          <w:lang w:val="en"/>
        </w:rPr>
        <w:t xml:space="preserve">onsideration could be given to </w:t>
      </w:r>
      <w:r w:rsidR="006A52C4" w:rsidRPr="00EC6E87">
        <w:rPr>
          <w:rFonts w:asciiTheme="minorHAnsi" w:eastAsia="Times New Roman" w:hAnsiTheme="minorHAnsi" w:cs="Arial"/>
          <w:color w:val="333333"/>
          <w:lang w:val="en"/>
        </w:rPr>
        <w:t xml:space="preserve">the inclusion of </w:t>
      </w:r>
      <w:r w:rsidR="00995B08" w:rsidRPr="00EC6E87">
        <w:rPr>
          <w:rFonts w:asciiTheme="minorHAnsi" w:eastAsia="Times New Roman" w:hAnsiTheme="minorHAnsi" w:cs="Arial"/>
          <w:color w:val="333333"/>
          <w:lang w:val="en"/>
        </w:rPr>
        <w:t xml:space="preserve">Global insurance accelerators </w:t>
      </w:r>
      <w:r w:rsidR="00A40E8B" w:rsidRPr="00EC6E87">
        <w:rPr>
          <w:rFonts w:asciiTheme="minorHAnsi" w:eastAsia="Times New Roman" w:hAnsiTheme="minorHAnsi" w:cs="Arial"/>
          <w:color w:val="333333"/>
          <w:lang w:val="en"/>
        </w:rPr>
        <w:t xml:space="preserve">such as those </w:t>
      </w:r>
      <w:r w:rsidR="007154D7">
        <w:rPr>
          <w:rFonts w:asciiTheme="minorHAnsi" w:eastAsia="Times New Roman" w:hAnsiTheme="minorHAnsi" w:cs="Arial"/>
          <w:color w:val="333333"/>
          <w:lang w:val="en"/>
        </w:rPr>
        <w:t xml:space="preserve">that exist in Des Moines, </w:t>
      </w:r>
      <w:r w:rsidR="00995B08" w:rsidRPr="00EC6E87">
        <w:rPr>
          <w:rFonts w:asciiTheme="minorHAnsi" w:eastAsia="Times New Roman" w:hAnsiTheme="minorHAnsi" w:cs="Arial"/>
          <w:color w:val="333333"/>
          <w:lang w:val="en"/>
        </w:rPr>
        <w:t>Iowa or New York City in a consultative capacity</w:t>
      </w:r>
      <w:r w:rsidR="006A52C4" w:rsidRPr="00EC6E87">
        <w:rPr>
          <w:rFonts w:asciiTheme="minorHAnsi" w:eastAsia="Times New Roman" w:hAnsiTheme="minorHAnsi" w:cs="Arial"/>
          <w:color w:val="333333"/>
          <w:lang w:val="en"/>
        </w:rPr>
        <w:t xml:space="preserve">.  </w:t>
      </w:r>
      <w:r w:rsidR="00995B08" w:rsidRPr="00EC6E87">
        <w:rPr>
          <w:rFonts w:asciiTheme="minorHAnsi" w:eastAsia="Times New Roman" w:hAnsiTheme="minorHAnsi" w:cs="Arial"/>
          <w:color w:val="333333"/>
          <w:lang w:val="en"/>
        </w:rPr>
        <w:t xml:space="preserve">These Accelerators – supported by insurance providers and brokers - are already playing an important role in preparing start-ups to compete in global insurance markets.  Finally, if a new </w:t>
      </w:r>
      <w:r w:rsidR="00AF2E98" w:rsidRPr="00EC6E87">
        <w:rPr>
          <w:rFonts w:asciiTheme="minorHAnsi" w:hAnsiTheme="minorHAnsi"/>
          <w:color w:val="3F3F3F"/>
          <w:shd w:val="clear" w:color="auto" w:fill="FFFFFF"/>
        </w:rPr>
        <w:t>pro-FinTech Co-operation Framework</w:t>
      </w:r>
      <w:r w:rsidR="00AF2E98" w:rsidRPr="00EC6E87">
        <w:rPr>
          <w:rStyle w:val="apple-converted-space"/>
          <w:rFonts w:asciiTheme="minorHAnsi" w:hAnsiTheme="minorHAnsi"/>
          <w:color w:val="3F3F3F"/>
          <w:shd w:val="clear" w:color="auto" w:fill="FFFFFF"/>
        </w:rPr>
        <w:t> </w:t>
      </w:r>
      <w:r w:rsidR="00AF2E98" w:rsidRPr="00EC6E87" w:rsidDel="00AF2E98">
        <w:rPr>
          <w:rFonts w:asciiTheme="minorHAnsi" w:eastAsia="Times New Roman" w:hAnsiTheme="minorHAnsi" w:cs="Arial"/>
          <w:color w:val="333333"/>
          <w:lang w:val="en"/>
        </w:rPr>
        <w:t xml:space="preserve"> </w:t>
      </w:r>
      <w:r w:rsidR="00995B08" w:rsidRPr="00EC6E87">
        <w:rPr>
          <w:rFonts w:asciiTheme="minorHAnsi" w:eastAsia="Times New Roman" w:hAnsiTheme="minorHAnsi" w:cs="Arial"/>
          <w:color w:val="333333"/>
          <w:lang w:val="en"/>
        </w:rPr>
        <w:t xml:space="preserve">is not the right vehicle to establish the Greenhouse – a regulatory cooperation chapter within a new US-UK Free Trade Agreement could be a another opportunity to give FTAs a fresh look and modernize commitments and structures to support new industries.  Successful creation and execution </w:t>
      </w:r>
      <w:r w:rsidR="00EB387B" w:rsidRPr="00EC6E87">
        <w:rPr>
          <w:rFonts w:asciiTheme="minorHAnsi" w:eastAsia="Times New Roman" w:hAnsiTheme="minorHAnsi" w:cs="Arial"/>
          <w:color w:val="333333"/>
          <w:lang w:val="en"/>
        </w:rPr>
        <w:t>of the Insurtech Greenhouse c</w:t>
      </w:r>
      <w:r w:rsidR="00134B99" w:rsidRPr="00EC6E87">
        <w:rPr>
          <w:rFonts w:asciiTheme="minorHAnsi" w:eastAsia="Times New Roman" w:hAnsiTheme="minorHAnsi" w:cs="Arial"/>
          <w:color w:val="333333"/>
          <w:lang w:val="en"/>
        </w:rPr>
        <w:t xml:space="preserve">ould result in the United States pursuing similar collaborations with other countries who have established innovative approaches to fintech regulation </w:t>
      </w:r>
      <w:r w:rsidR="006A52C4" w:rsidRPr="00EC6E87">
        <w:rPr>
          <w:rFonts w:asciiTheme="minorHAnsi" w:eastAsia="Times New Roman" w:hAnsiTheme="minorHAnsi" w:cs="Arial"/>
          <w:color w:val="333333"/>
          <w:lang w:val="en"/>
        </w:rPr>
        <w:t>includin</w:t>
      </w:r>
      <w:r w:rsidR="007E56A2" w:rsidRPr="00EC6E87">
        <w:rPr>
          <w:rFonts w:asciiTheme="minorHAnsi" w:eastAsia="Times New Roman" w:hAnsiTheme="minorHAnsi" w:cs="Arial"/>
          <w:color w:val="333333"/>
          <w:lang w:val="en"/>
        </w:rPr>
        <w:t xml:space="preserve">g Singapore, Hong Kong, </w:t>
      </w:r>
      <w:r w:rsidR="006A52C4" w:rsidRPr="00EC6E87">
        <w:rPr>
          <w:rFonts w:asciiTheme="minorHAnsi" w:eastAsia="Times New Roman" w:hAnsiTheme="minorHAnsi" w:cs="Arial"/>
          <w:color w:val="333333"/>
          <w:lang w:val="en"/>
        </w:rPr>
        <w:t>Canada, Israel and the United Arab Emirates</w:t>
      </w:r>
      <w:r w:rsidR="00134B99" w:rsidRPr="00EC6E87">
        <w:rPr>
          <w:rFonts w:asciiTheme="minorHAnsi" w:eastAsia="Times New Roman" w:hAnsiTheme="minorHAnsi" w:cs="Arial"/>
          <w:color w:val="333333"/>
          <w:lang w:val="en"/>
        </w:rPr>
        <w:t xml:space="preserve">.  </w:t>
      </w:r>
    </w:p>
    <w:p w14:paraId="54E3D728" w14:textId="77777777" w:rsidR="00243E74" w:rsidRPr="00EC6E87" w:rsidRDefault="00243E74" w:rsidP="007813CD">
      <w:pPr>
        <w:spacing w:before="100" w:beforeAutospacing="1" w:after="0" w:line="240" w:lineRule="auto"/>
        <w:rPr>
          <w:rFonts w:eastAsia="Times New Roman" w:cs="Times New Roman"/>
          <w:b/>
          <w:color w:val="1E1E1E"/>
          <w:sz w:val="24"/>
          <w:szCs w:val="24"/>
        </w:rPr>
      </w:pPr>
      <w:r w:rsidRPr="00EC6E87">
        <w:rPr>
          <w:rFonts w:eastAsia="Times New Roman" w:cs="Times New Roman"/>
          <w:b/>
          <w:color w:val="1E1E1E"/>
          <w:sz w:val="24"/>
          <w:szCs w:val="24"/>
        </w:rPr>
        <w:t>Future is now</w:t>
      </w:r>
    </w:p>
    <w:p w14:paraId="43C20401" w14:textId="77777777" w:rsidR="001275E0" w:rsidRPr="00EC6E87" w:rsidRDefault="00243E74" w:rsidP="007813CD">
      <w:pPr>
        <w:spacing w:before="100" w:beforeAutospacing="1" w:after="0" w:line="240" w:lineRule="auto"/>
        <w:rPr>
          <w:rFonts w:eastAsia="Times New Roman" w:cs="Times New Roman"/>
          <w:color w:val="1E1E1E"/>
          <w:sz w:val="24"/>
          <w:szCs w:val="24"/>
        </w:rPr>
      </w:pPr>
      <w:r w:rsidRPr="00EC6E87">
        <w:rPr>
          <w:rFonts w:eastAsia="Times New Roman" w:cs="Times New Roman"/>
          <w:color w:val="1E1E1E"/>
          <w:sz w:val="24"/>
          <w:szCs w:val="24"/>
        </w:rPr>
        <w:t>Pres</w:t>
      </w:r>
      <w:r w:rsidR="00A40E8B" w:rsidRPr="00EC6E87">
        <w:rPr>
          <w:rFonts w:eastAsia="Times New Roman" w:cs="Times New Roman"/>
          <w:color w:val="1E1E1E"/>
          <w:sz w:val="24"/>
          <w:szCs w:val="24"/>
        </w:rPr>
        <w:t xml:space="preserve">ident Trump has </w:t>
      </w:r>
      <w:r w:rsidR="00F44FB7" w:rsidRPr="00EC6E87">
        <w:rPr>
          <w:rFonts w:eastAsia="Times New Roman" w:cs="Times New Roman"/>
          <w:color w:val="1E1E1E"/>
          <w:sz w:val="24"/>
          <w:szCs w:val="24"/>
        </w:rPr>
        <w:t>signed an executive order requesting that the Secretary of the Treasury review regulations on financial institutions and to report back to</w:t>
      </w:r>
      <w:r w:rsidR="000600E5" w:rsidRPr="00EC6E87">
        <w:rPr>
          <w:rFonts w:eastAsia="Times New Roman" w:cs="Times New Roman"/>
          <w:color w:val="1E1E1E"/>
          <w:sz w:val="24"/>
          <w:szCs w:val="24"/>
        </w:rPr>
        <w:t xml:space="preserve"> him on </w:t>
      </w:r>
      <w:r w:rsidR="00F44FB7" w:rsidRPr="00EC6E87">
        <w:rPr>
          <w:rFonts w:eastAsia="Times New Roman" w:cs="Times New Roman"/>
          <w:color w:val="1E1E1E"/>
          <w:sz w:val="24"/>
          <w:szCs w:val="24"/>
        </w:rPr>
        <w:t xml:space="preserve">specific recommendations to the President.  Many of these regulations were those inaugurated by the Dodd Frank Financial Reform Act of 2010.  </w:t>
      </w:r>
      <w:r w:rsidR="000600E5" w:rsidRPr="00EC6E87">
        <w:rPr>
          <w:rFonts w:eastAsia="Times New Roman" w:cs="Times New Roman"/>
          <w:color w:val="1E1E1E"/>
          <w:sz w:val="24"/>
          <w:szCs w:val="24"/>
        </w:rPr>
        <w:t>B</w:t>
      </w:r>
      <w:r w:rsidR="00F44FB7" w:rsidRPr="00EC6E87">
        <w:rPr>
          <w:rFonts w:eastAsia="Times New Roman" w:cs="Times New Roman"/>
          <w:color w:val="1E1E1E"/>
          <w:sz w:val="24"/>
          <w:szCs w:val="24"/>
        </w:rPr>
        <w:t>oth the executive branch and Congress</w:t>
      </w:r>
      <w:r w:rsidR="000600E5" w:rsidRPr="00EC6E87">
        <w:rPr>
          <w:rFonts w:eastAsia="Times New Roman" w:cs="Times New Roman"/>
          <w:color w:val="1E1E1E"/>
          <w:sz w:val="24"/>
          <w:szCs w:val="24"/>
        </w:rPr>
        <w:t>ional</w:t>
      </w:r>
      <w:r w:rsidR="00F44FB7" w:rsidRPr="00EC6E87">
        <w:rPr>
          <w:rFonts w:eastAsia="Times New Roman" w:cs="Times New Roman"/>
          <w:color w:val="1E1E1E"/>
          <w:sz w:val="24"/>
          <w:szCs w:val="24"/>
        </w:rPr>
        <w:t xml:space="preserve"> </w:t>
      </w:r>
      <w:r w:rsidR="000600E5" w:rsidRPr="00EC6E87">
        <w:rPr>
          <w:rFonts w:eastAsia="Times New Roman" w:cs="Times New Roman"/>
          <w:color w:val="1E1E1E"/>
          <w:sz w:val="24"/>
          <w:szCs w:val="24"/>
        </w:rPr>
        <w:t xml:space="preserve">reviews </w:t>
      </w:r>
      <w:r w:rsidR="00F44FB7" w:rsidRPr="00EC6E87">
        <w:rPr>
          <w:rFonts w:eastAsia="Times New Roman" w:cs="Times New Roman"/>
          <w:color w:val="1E1E1E"/>
          <w:sz w:val="24"/>
          <w:szCs w:val="24"/>
        </w:rPr>
        <w:t>of the regulatory structure of the financial services industry, combined with the rapi</w:t>
      </w:r>
      <w:r w:rsidR="000600E5" w:rsidRPr="00EC6E87">
        <w:rPr>
          <w:rFonts w:eastAsia="Times New Roman" w:cs="Times New Roman"/>
          <w:color w:val="1E1E1E"/>
          <w:sz w:val="24"/>
          <w:szCs w:val="24"/>
        </w:rPr>
        <w:t xml:space="preserve">d growth of </w:t>
      </w:r>
      <w:r w:rsidR="00F44FB7" w:rsidRPr="00EC6E87">
        <w:rPr>
          <w:rFonts w:eastAsia="Times New Roman" w:cs="Times New Roman"/>
          <w:color w:val="1E1E1E"/>
          <w:sz w:val="24"/>
          <w:szCs w:val="24"/>
        </w:rPr>
        <w:t>financial technology, and the opportunity for new exclusive collaboration with the UK fo</w:t>
      </w:r>
      <w:r w:rsidR="00BC4109" w:rsidRPr="00EC6E87">
        <w:rPr>
          <w:rFonts w:eastAsia="Times New Roman" w:cs="Times New Roman"/>
          <w:color w:val="1E1E1E"/>
          <w:sz w:val="24"/>
          <w:szCs w:val="24"/>
        </w:rPr>
        <w:t>llowing Brexit, create an ideal</w:t>
      </w:r>
      <w:r w:rsidR="00F44FB7" w:rsidRPr="00EC6E87">
        <w:rPr>
          <w:rFonts w:eastAsia="Times New Roman" w:cs="Times New Roman"/>
          <w:color w:val="1E1E1E"/>
          <w:sz w:val="24"/>
          <w:szCs w:val="24"/>
        </w:rPr>
        <w:t xml:space="preserve"> environment for new approaches in order to better position regulatory assets to both support innova</w:t>
      </w:r>
      <w:r w:rsidR="006A52C4" w:rsidRPr="00EC6E87">
        <w:rPr>
          <w:rFonts w:eastAsia="Times New Roman" w:cs="Times New Roman"/>
          <w:color w:val="1E1E1E"/>
          <w:sz w:val="24"/>
          <w:szCs w:val="24"/>
        </w:rPr>
        <w:t xml:space="preserve">tion and protect the consumer.   </w:t>
      </w:r>
    </w:p>
    <w:p w14:paraId="0520787A" w14:textId="77777777" w:rsidR="00243E74" w:rsidRPr="00EC6E87" w:rsidRDefault="001275E0" w:rsidP="007813CD">
      <w:pPr>
        <w:spacing w:before="100" w:beforeAutospacing="1" w:after="0" w:line="240" w:lineRule="auto"/>
        <w:rPr>
          <w:rFonts w:eastAsia="Times New Roman" w:cs="Times New Roman"/>
          <w:color w:val="1E1E1E"/>
          <w:sz w:val="24"/>
          <w:szCs w:val="24"/>
        </w:rPr>
      </w:pPr>
      <w:r w:rsidRPr="00EC6E87">
        <w:rPr>
          <w:rFonts w:eastAsia="Times New Roman" w:cs="Times New Roman"/>
          <w:color w:val="1E1E1E"/>
          <w:sz w:val="24"/>
          <w:szCs w:val="24"/>
        </w:rPr>
        <w:t xml:space="preserve">According to Alex Ross, author of “Industries of the Future” there are currently 20 billion networked devices around the world – and in three years that number will more than double and total 45 billion.  The growth of fintech is directly correlated to the expansion of networked devices – and show no sign of slowing down.  </w:t>
      </w:r>
      <w:r w:rsidR="00AA02F3" w:rsidRPr="00EC6E87">
        <w:rPr>
          <w:rFonts w:eastAsia="Times New Roman" w:cs="Times New Roman"/>
          <w:color w:val="1E1E1E"/>
          <w:sz w:val="24"/>
          <w:szCs w:val="24"/>
        </w:rPr>
        <w:t xml:space="preserve">What does slow down fintech – and with it U.S. economic competitiveness – is a regulatory framework that is slow to adapt to new technologies and to adjust to how the power of modern communications has forever changed business models.  Insurance regulation is complex and international insurance dialogue will mandate cooperation now only between different countries but also between federal and state authorities.  </w:t>
      </w:r>
      <w:r w:rsidRPr="00EC6E87">
        <w:rPr>
          <w:rFonts w:eastAsia="Times New Roman" w:cs="Times New Roman"/>
          <w:color w:val="1E1E1E"/>
          <w:sz w:val="24"/>
          <w:szCs w:val="24"/>
        </w:rPr>
        <w:t xml:space="preserve">The burden should be on government and regulators to </w:t>
      </w:r>
      <w:r w:rsidR="00AA02F3" w:rsidRPr="00EC6E87">
        <w:rPr>
          <w:rFonts w:eastAsia="Times New Roman" w:cs="Times New Roman"/>
          <w:color w:val="1E1E1E"/>
          <w:sz w:val="24"/>
          <w:szCs w:val="24"/>
        </w:rPr>
        <w:t xml:space="preserve">make the effort, and in the end </w:t>
      </w:r>
      <w:r w:rsidRPr="00EC6E87">
        <w:rPr>
          <w:rFonts w:eastAsia="Times New Roman" w:cs="Times New Roman"/>
          <w:color w:val="1E1E1E"/>
          <w:sz w:val="24"/>
          <w:szCs w:val="24"/>
        </w:rPr>
        <w:t xml:space="preserve">create an environment that can support these </w:t>
      </w:r>
      <w:r w:rsidR="00AA02F3" w:rsidRPr="00EC6E87">
        <w:rPr>
          <w:rFonts w:eastAsia="Times New Roman" w:cs="Times New Roman"/>
          <w:color w:val="1E1E1E"/>
          <w:sz w:val="24"/>
          <w:szCs w:val="24"/>
        </w:rPr>
        <w:t>new business</w:t>
      </w:r>
      <w:r w:rsidRPr="00EC6E87">
        <w:rPr>
          <w:rFonts w:eastAsia="Times New Roman" w:cs="Times New Roman"/>
          <w:color w:val="1E1E1E"/>
          <w:sz w:val="24"/>
          <w:szCs w:val="24"/>
        </w:rPr>
        <w:t xml:space="preserve"> ventures in a safe and secure way</w:t>
      </w:r>
      <w:r w:rsidR="00340A62" w:rsidRPr="00EC6E87">
        <w:rPr>
          <w:rFonts w:eastAsia="Times New Roman" w:cs="Times New Roman"/>
          <w:color w:val="1E1E1E"/>
          <w:sz w:val="24"/>
          <w:szCs w:val="24"/>
        </w:rPr>
        <w:t xml:space="preserve"> while expanding access to the uninsured and the underinsured</w:t>
      </w:r>
      <w:r w:rsidRPr="00EC6E87">
        <w:rPr>
          <w:rFonts w:eastAsia="Times New Roman" w:cs="Times New Roman"/>
          <w:color w:val="1E1E1E"/>
          <w:sz w:val="24"/>
          <w:szCs w:val="24"/>
        </w:rPr>
        <w:t xml:space="preserve">.    </w:t>
      </w:r>
      <w:r w:rsidR="00AA02F3" w:rsidRPr="00EC6E87">
        <w:rPr>
          <w:rFonts w:eastAsia="Times New Roman" w:cs="Times New Roman"/>
          <w:color w:val="1E1E1E"/>
          <w:sz w:val="24"/>
          <w:szCs w:val="24"/>
        </w:rPr>
        <w:t xml:space="preserve">At least as a pilot project, we should engage with the UK to learn, share best practices, and empower insurtech </w:t>
      </w:r>
      <w:r w:rsidRPr="00EC6E87">
        <w:rPr>
          <w:rFonts w:eastAsia="Times New Roman" w:cs="Times New Roman"/>
          <w:color w:val="1E1E1E"/>
          <w:sz w:val="24"/>
          <w:szCs w:val="24"/>
        </w:rPr>
        <w:t xml:space="preserve">greenhouses to “let the flowers bloom.”   </w:t>
      </w:r>
    </w:p>
    <w:p w14:paraId="49BA9931" w14:textId="03CC44F6" w:rsidR="000D08BC" w:rsidRDefault="000D08BC">
      <w:pPr>
        <w:rPr>
          <w:rFonts w:eastAsia="Times New Roman" w:cs="Times New Roman"/>
          <w:color w:val="1E1E1E"/>
          <w:sz w:val="24"/>
          <w:szCs w:val="24"/>
        </w:rPr>
      </w:pPr>
      <w:r>
        <w:rPr>
          <w:rFonts w:eastAsia="Times New Roman" w:cs="Times New Roman"/>
          <w:color w:val="1E1E1E"/>
          <w:sz w:val="24"/>
          <w:szCs w:val="24"/>
        </w:rPr>
        <w:br w:type="page"/>
      </w:r>
    </w:p>
    <w:p w14:paraId="4E7E33AF" w14:textId="1FF75982" w:rsidR="009028A0" w:rsidRPr="00BC6786" w:rsidRDefault="000D08BC" w:rsidP="007813CD">
      <w:pPr>
        <w:spacing w:before="100" w:beforeAutospacing="1" w:after="0" w:line="240" w:lineRule="auto"/>
        <w:rPr>
          <w:rFonts w:eastAsia="Times New Roman" w:cs="Times New Roman"/>
          <w:b/>
          <w:color w:val="1E1E1E"/>
          <w:sz w:val="28"/>
          <w:szCs w:val="28"/>
        </w:rPr>
      </w:pPr>
      <w:r w:rsidRPr="00BC6786">
        <w:rPr>
          <w:rFonts w:eastAsia="Times New Roman" w:cs="Times New Roman"/>
          <w:b/>
          <w:color w:val="1E1E1E"/>
          <w:sz w:val="28"/>
          <w:szCs w:val="28"/>
        </w:rPr>
        <w:lastRenderedPageBreak/>
        <w:t>REFERENCES</w:t>
      </w:r>
    </w:p>
    <w:p w14:paraId="5A91A1C1" w14:textId="187B43AF" w:rsidR="000D08BC" w:rsidRDefault="000D08BC" w:rsidP="007813CD">
      <w:pPr>
        <w:spacing w:before="100" w:beforeAutospacing="1" w:after="0" w:line="240" w:lineRule="auto"/>
        <w:rPr>
          <w:sz w:val="24"/>
          <w:szCs w:val="24"/>
        </w:rPr>
      </w:pPr>
      <w:r w:rsidRPr="000D08BC">
        <w:rPr>
          <w:rFonts w:eastAsia="Times New Roman" w:cs="Times New Roman"/>
          <w:color w:val="1E1E1E"/>
          <w:sz w:val="24"/>
          <w:szCs w:val="24"/>
        </w:rPr>
        <w:t>Sch</w:t>
      </w:r>
      <w:r>
        <w:rPr>
          <w:rFonts w:eastAsia="Times New Roman" w:cs="Times New Roman"/>
          <w:color w:val="1E1E1E"/>
          <w:sz w:val="24"/>
          <w:szCs w:val="24"/>
        </w:rPr>
        <w:t xml:space="preserve">mith, Scott and Tran, Vincent.  June </w:t>
      </w:r>
      <w:r w:rsidRPr="000D08BC">
        <w:rPr>
          <w:rFonts w:eastAsia="Times New Roman" w:cs="Times New Roman"/>
          <w:color w:val="1E1E1E"/>
          <w:sz w:val="24"/>
          <w:szCs w:val="24"/>
        </w:rPr>
        <w:t xml:space="preserve">2016.  </w:t>
      </w:r>
      <w:r w:rsidRPr="000D08BC">
        <w:rPr>
          <w:rFonts w:eastAsia="Times New Roman" w:cs="Times New Roman"/>
          <w:i/>
          <w:color w:val="1E1E1E"/>
          <w:sz w:val="24"/>
          <w:szCs w:val="24"/>
        </w:rPr>
        <w:t>Financial Technology Top Markets Report</w:t>
      </w:r>
      <w:r w:rsidRPr="000D08BC">
        <w:rPr>
          <w:rFonts w:eastAsia="Times New Roman" w:cs="Times New Roman"/>
          <w:color w:val="1E1E1E"/>
          <w:sz w:val="24"/>
          <w:szCs w:val="24"/>
        </w:rPr>
        <w:t xml:space="preserve">. </w:t>
      </w:r>
      <w:r>
        <w:rPr>
          <w:rFonts w:eastAsia="Times New Roman" w:cs="Times New Roman"/>
          <w:color w:val="1E1E1E"/>
          <w:sz w:val="24"/>
          <w:szCs w:val="24"/>
        </w:rPr>
        <w:t>Office of Finance and Insurance Industries/</w:t>
      </w:r>
      <w:r w:rsidRPr="000D08BC">
        <w:rPr>
          <w:rFonts w:eastAsia="Times New Roman" w:cs="Times New Roman"/>
          <w:color w:val="1E1E1E"/>
          <w:sz w:val="24"/>
          <w:szCs w:val="24"/>
        </w:rPr>
        <w:t>International Trade Administration</w:t>
      </w:r>
      <w:r w:rsidR="00DC68AF">
        <w:rPr>
          <w:sz w:val="24"/>
          <w:szCs w:val="24"/>
        </w:rPr>
        <w:t>.</w:t>
      </w:r>
      <w:r w:rsidRPr="000D08BC">
        <w:rPr>
          <w:sz w:val="24"/>
          <w:szCs w:val="24"/>
        </w:rPr>
        <w:t xml:space="preserve"> </w:t>
      </w:r>
      <w:hyperlink r:id="rId10" w:history="1">
        <w:r w:rsidRPr="005E1702">
          <w:rPr>
            <w:rStyle w:val="Hyperlink"/>
            <w:sz w:val="24"/>
            <w:szCs w:val="24"/>
          </w:rPr>
          <w:t>http://www.trade.gov/topmarkets/financial-tech.asp</w:t>
        </w:r>
      </w:hyperlink>
    </w:p>
    <w:p w14:paraId="1D86F65E" w14:textId="77777777" w:rsidR="000D08BC" w:rsidRDefault="000D08BC" w:rsidP="000D08BC">
      <w:pPr>
        <w:pStyle w:val="FootnoteText"/>
      </w:pPr>
    </w:p>
    <w:p w14:paraId="45E60233" w14:textId="192E85C5" w:rsidR="000D08BC" w:rsidRPr="000D08BC" w:rsidRDefault="000D08BC" w:rsidP="000D08BC">
      <w:pPr>
        <w:pStyle w:val="FootnoteText"/>
        <w:rPr>
          <w:sz w:val="24"/>
          <w:szCs w:val="24"/>
        </w:rPr>
      </w:pPr>
      <w:r w:rsidRPr="000D08BC">
        <w:rPr>
          <w:sz w:val="24"/>
          <w:szCs w:val="24"/>
        </w:rPr>
        <w:t xml:space="preserve">McQuinn, </w:t>
      </w:r>
      <w:r>
        <w:rPr>
          <w:sz w:val="24"/>
          <w:szCs w:val="24"/>
        </w:rPr>
        <w:t xml:space="preserve">Alan, Guo, </w:t>
      </w:r>
      <w:r w:rsidRPr="000D08BC">
        <w:rPr>
          <w:sz w:val="24"/>
          <w:szCs w:val="24"/>
        </w:rPr>
        <w:t>Weining and Castro</w:t>
      </w:r>
      <w:r>
        <w:rPr>
          <w:sz w:val="24"/>
          <w:szCs w:val="24"/>
        </w:rPr>
        <w:t xml:space="preserve">, Daniel.  </w:t>
      </w:r>
      <w:r w:rsidRPr="000D08BC">
        <w:rPr>
          <w:sz w:val="24"/>
          <w:szCs w:val="24"/>
        </w:rPr>
        <w:t xml:space="preserve">November 2016.  </w:t>
      </w:r>
      <w:r w:rsidRPr="000D08BC">
        <w:rPr>
          <w:i/>
          <w:sz w:val="24"/>
          <w:szCs w:val="24"/>
        </w:rPr>
        <w:t>Policy Principles for FinTech</w:t>
      </w:r>
      <w:r w:rsidRPr="000D08BC">
        <w:rPr>
          <w:sz w:val="24"/>
          <w:szCs w:val="24"/>
        </w:rPr>
        <w:t>, Information Technology and Innovation Foundation</w:t>
      </w:r>
      <w:r w:rsidR="00DC68AF">
        <w:rPr>
          <w:sz w:val="24"/>
          <w:szCs w:val="24"/>
        </w:rPr>
        <w:t>.</w:t>
      </w:r>
    </w:p>
    <w:p w14:paraId="2CE78D96" w14:textId="31B62646" w:rsidR="000D08BC" w:rsidRPr="000D08BC" w:rsidRDefault="000054C9" w:rsidP="000D08BC">
      <w:pPr>
        <w:pStyle w:val="FootnoteText"/>
        <w:rPr>
          <w:sz w:val="24"/>
          <w:szCs w:val="24"/>
        </w:rPr>
      </w:pPr>
      <w:hyperlink r:id="rId11" w:history="1">
        <w:r w:rsidR="000D08BC" w:rsidRPr="000D08BC">
          <w:rPr>
            <w:rStyle w:val="Hyperlink"/>
            <w:sz w:val="24"/>
            <w:szCs w:val="24"/>
          </w:rPr>
          <w:t>http://www2.itif.org/2016-policy-principles-fintech.pdf?_ga=1.84645593.1911117867.1482856566</w:t>
        </w:r>
      </w:hyperlink>
    </w:p>
    <w:p w14:paraId="5A39B1FA" w14:textId="77777777" w:rsidR="000D08BC" w:rsidRDefault="000D08BC" w:rsidP="000D08BC">
      <w:pPr>
        <w:pStyle w:val="FootnoteText"/>
        <w:rPr>
          <w:sz w:val="24"/>
          <w:szCs w:val="24"/>
        </w:rPr>
      </w:pPr>
    </w:p>
    <w:p w14:paraId="7AA6462B" w14:textId="0CA7B745" w:rsidR="000D08BC" w:rsidRPr="000D08BC" w:rsidRDefault="000D08BC" w:rsidP="000D08BC">
      <w:pPr>
        <w:pStyle w:val="FootnoteText"/>
        <w:rPr>
          <w:sz w:val="24"/>
          <w:szCs w:val="24"/>
        </w:rPr>
      </w:pPr>
      <w:r w:rsidRPr="000D08BC">
        <w:rPr>
          <w:sz w:val="24"/>
          <w:szCs w:val="24"/>
        </w:rPr>
        <w:t xml:space="preserve">Meola, Andrew. </w:t>
      </w:r>
      <w:r w:rsidRPr="000D08BC">
        <w:rPr>
          <w:i/>
          <w:sz w:val="24"/>
          <w:szCs w:val="24"/>
        </w:rPr>
        <w:t>Fintech report 2016</w:t>
      </w:r>
      <w:r w:rsidRPr="000D08BC">
        <w:rPr>
          <w:sz w:val="24"/>
          <w:szCs w:val="24"/>
        </w:rPr>
        <w:t>, Business Insider</w:t>
      </w:r>
      <w:r w:rsidR="00DC68AF">
        <w:rPr>
          <w:sz w:val="24"/>
          <w:szCs w:val="24"/>
        </w:rPr>
        <w:t>.</w:t>
      </w:r>
      <w:r w:rsidRPr="000D08BC">
        <w:rPr>
          <w:sz w:val="24"/>
          <w:szCs w:val="24"/>
        </w:rPr>
        <w:t xml:space="preserve"> </w:t>
      </w:r>
    </w:p>
    <w:p w14:paraId="726DA2E7" w14:textId="1E75D202" w:rsidR="000D08BC" w:rsidRPr="000D08BC" w:rsidRDefault="000054C9" w:rsidP="000D08BC">
      <w:pPr>
        <w:pStyle w:val="FootnoteText"/>
        <w:rPr>
          <w:sz w:val="24"/>
          <w:szCs w:val="24"/>
        </w:rPr>
      </w:pPr>
      <w:hyperlink r:id="rId12" w:history="1">
        <w:r w:rsidR="000D08BC" w:rsidRPr="000D08BC">
          <w:rPr>
            <w:rStyle w:val="Hyperlink"/>
            <w:sz w:val="24"/>
            <w:szCs w:val="24"/>
          </w:rPr>
          <w:t>http://www.businessinsider.com/the-fintech-report-2016-financial-industry-trends-and-investment-2016-12</w:t>
        </w:r>
      </w:hyperlink>
    </w:p>
    <w:p w14:paraId="18B9BBF5" w14:textId="77777777" w:rsidR="000D08BC" w:rsidRPr="000D08BC" w:rsidRDefault="000D08BC" w:rsidP="000D08BC">
      <w:pPr>
        <w:pStyle w:val="FootnoteText"/>
        <w:rPr>
          <w:sz w:val="24"/>
          <w:szCs w:val="24"/>
        </w:rPr>
      </w:pPr>
    </w:p>
    <w:p w14:paraId="64141866" w14:textId="40836ADF" w:rsidR="00DC68AF" w:rsidRPr="00DC68AF" w:rsidRDefault="00DC68AF" w:rsidP="00DC68AF">
      <w:pPr>
        <w:pStyle w:val="FootnoteText"/>
        <w:rPr>
          <w:sz w:val="24"/>
          <w:szCs w:val="24"/>
        </w:rPr>
      </w:pPr>
      <w:r w:rsidRPr="00DC68AF">
        <w:rPr>
          <w:sz w:val="24"/>
          <w:szCs w:val="24"/>
        </w:rPr>
        <w:t xml:space="preserve">McKinsey Global Banking Review 2015, </w:t>
      </w:r>
      <w:r w:rsidRPr="00DC68AF">
        <w:rPr>
          <w:i/>
          <w:sz w:val="24"/>
          <w:szCs w:val="24"/>
        </w:rPr>
        <w:t>Fight for the Customer</w:t>
      </w:r>
      <w:r>
        <w:rPr>
          <w:i/>
          <w:sz w:val="24"/>
          <w:szCs w:val="24"/>
        </w:rPr>
        <w:t>.</w:t>
      </w:r>
    </w:p>
    <w:p w14:paraId="4E261E8C" w14:textId="58EA561A" w:rsidR="00DC68AF" w:rsidRDefault="000054C9" w:rsidP="00DC68AF">
      <w:pPr>
        <w:pStyle w:val="FootnoteText"/>
        <w:rPr>
          <w:sz w:val="24"/>
          <w:szCs w:val="24"/>
        </w:rPr>
      </w:pPr>
      <w:hyperlink r:id="rId13" w:history="1">
        <w:r w:rsidR="00DC68AF" w:rsidRPr="005E1702">
          <w:rPr>
            <w:rStyle w:val="Hyperlink"/>
            <w:sz w:val="24"/>
            <w:szCs w:val="24"/>
          </w:rPr>
          <w:t>http://www.mckinsey.com/industries/financial-services/our-insights/the-fight-for-the-customer-mckinsey-global-banking-annual-review-2015</w:t>
        </w:r>
      </w:hyperlink>
    </w:p>
    <w:p w14:paraId="3FD1BA0E" w14:textId="77777777" w:rsidR="00DC68AF" w:rsidRPr="00DC68AF" w:rsidRDefault="00DC68AF" w:rsidP="00DC68AF">
      <w:pPr>
        <w:pStyle w:val="FootnoteText"/>
        <w:rPr>
          <w:sz w:val="24"/>
          <w:szCs w:val="24"/>
        </w:rPr>
      </w:pPr>
    </w:p>
    <w:p w14:paraId="51E6AA46" w14:textId="02A07D5C" w:rsidR="00DC68AF" w:rsidRPr="00DC68AF" w:rsidRDefault="00DC68AF" w:rsidP="000D08BC">
      <w:pPr>
        <w:pStyle w:val="FootnoteText"/>
        <w:rPr>
          <w:sz w:val="24"/>
          <w:szCs w:val="24"/>
        </w:rPr>
      </w:pPr>
      <w:r w:rsidRPr="00DC68AF">
        <w:rPr>
          <w:sz w:val="24"/>
          <w:szCs w:val="24"/>
        </w:rPr>
        <w:t>Let</w:t>
      </w:r>
      <w:r w:rsidR="00E378DB">
        <w:rPr>
          <w:sz w:val="24"/>
          <w:szCs w:val="24"/>
        </w:rPr>
        <w:t>’</w:t>
      </w:r>
      <w:r w:rsidRPr="00DC68AF">
        <w:rPr>
          <w:sz w:val="24"/>
          <w:szCs w:val="24"/>
        </w:rPr>
        <w:t xml:space="preserve">s Talk Payments.  October 2015.  </w:t>
      </w:r>
      <w:r w:rsidRPr="00DC68AF">
        <w:rPr>
          <w:i/>
          <w:sz w:val="24"/>
          <w:szCs w:val="24"/>
        </w:rPr>
        <w:t>How Banks are joining hands with fintech firms to serve customers.</w:t>
      </w:r>
    </w:p>
    <w:p w14:paraId="52AEF8AD" w14:textId="191F1C91" w:rsidR="000D08BC" w:rsidRPr="00DC68AF" w:rsidRDefault="000054C9" w:rsidP="000D08BC">
      <w:pPr>
        <w:pStyle w:val="FootnoteText"/>
        <w:rPr>
          <w:sz w:val="24"/>
          <w:szCs w:val="24"/>
        </w:rPr>
      </w:pPr>
      <w:hyperlink r:id="rId14" w:history="1">
        <w:r w:rsidR="00DC68AF" w:rsidRPr="00DC68AF">
          <w:rPr>
            <w:rStyle w:val="Hyperlink"/>
            <w:sz w:val="24"/>
            <w:szCs w:val="24"/>
          </w:rPr>
          <w:t>http://letstalkpayments.com/how-banks-are-joining-hands-with-fintech-firms-to-serve-customers</w:t>
        </w:r>
      </w:hyperlink>
      <w:r w:rsidR="000D08BC" w:rsidRPr="00DC68AF">
        <w:rPr>
          <w:sz w:val="24"/>
          <w:szCs w:val="24"/>
        </w:rPr>
        <w:t xml:space="preserve"> </w:t>
      </w:r>
    </w:p>
    <w:p w14:paraId="1C74B4CC" w14:textId="77777777" w:rsidR="00E378DB" w:rsidRDefault="00E378DB" w:rsidP="00E378DB">
      <w:pPr>
        <w:pStyle w:val="FootnoteText"/>
      </w:pPr>
    </w:p>
    <w:p w14:paraId="6526D704" w14:textId="6B958142" w:rsidR="00E378DB" w:rsidRPr="00E378DB" w:rsidRDefault="00E378DB" w:rsidP="00E378DB">
      <w:pPr>
        <w:pStyle w:val="FootnoteText"/>
        <w:rPr>
          <w:sz w:val="24"/>
          <w:szCs w:val="24"/>
        </w:rPr>
      </w:pPr>
      <w:r w:rsidRPr="00E378DB">
        <w:rPr>
          <w:sz w:val="24"/>
          <w:szCs w:val="24"/>
        </w:rPr>
        <w:t xml:space="preserve">Organization for Economic Cooperation and Development (OECD).  December 2016.  </w:t>
      </w:r>
      <w:r w:rsidRPr="00E378DB">
        <w:rPr>
          <w:i/>
          <w:sz w:val="24"/>
          <w:szCs w:val="24"/>
        </w:rPr>
        <w:t>Technology and Innovation in the Insurance Sector</w:t>
      </w:r>
      <w:r w:rsidRPr="00E378DB">
        <w:rPr>
          <w:sz w:val="24"/>
          <w:szCs w:val="24"/>
        </w:rPr>
        <w:t xml:space="preserve">.  </w:t>
      </w:r>
    </w:p>
    <w:p w14:paraId="618CB03E" w14:textId="77777777" w:rsidR="00E378DB" w:rsidRDefault="00E378DB" w:rsidP="00E378DB">
      <w:pPr>
        <w:pStyle w:val="FootnoteText"/>
        <w:rPr>
          <w:sz w:val="24"/>
          <w:szCs w:val="24"/>
        </w:rPr>
      </w:pPr>
    </w:p>
    <w:p w14:paraId="36FCD499" w14:textId="4F5D40A5" w:rsidR="00E378DB" w:rsidRDefault="00E378DB" w:rsidP="00E378DB">
      <w:pPr>
        <w:pStyle w:val="FootnoteText"/>
        <w:rPr>
          <w:sz w:val="24"/>
          <w:szCs w:val="24"/>
        </w:rPr>
      </w:pPr>
      <w:r w:rsidRPr="00E378DB">
        <w:rPr>
          <w:sz w:val="24"/>
          <w:szCs w:val="24"/>
        </w:rPr>
        <w:t xml:space="preserve">Moody’s Investors Services.  June 2016.  </w:t>
      </w:r>
      <w:r w:rsidRPr="00E378DB">
        <w:rPr>
          <w:i/>
          <w:sz w:val="24"/>
          <w:szCs w:val="24"/>
        </w:rPr>
        <w:t>Internet of things brings short term benefits, long term disruption/Sector in Depth</w:t>
      </w:r>
      <w:r>
        <w:rPr>
          <w:i/>
          <w:sz w:val="24"/>
          <w:szCs w:val="24"/>
        </w:rPr>
        <w:t>.</w:t>
      </w:r>
    </w:p>
    <w:p w14:paraId="76574FB6" w14:textId="77777777" w:rsidR="00E378DB" w:rsidRDefault="00E378DB" w:rsidP="00E378DB">
      <w:pPr>
        <w:pStyle w:val="FootnoteText"/>
        <w:rPr>
          <w:sz w:val="24"/>
          <w:szCs w:val="24"/>
        </w:rPr>
      </w:pPr>
    </w:p>
    <w:p w14:paraId="06C4E770" w14:textId="1048AE8E" w:rsidR="00E378DB" w:rsidRPr="00E378DB" w:rsidRDefault="00E378DB" w:rsidP="00E378DB">
      <w:pPr>
        <w:pStyle w:val="FootnoteText"/>
        <w:rPr>
          <w:sz w:val="24"/>
          <w:szCs w:val="24"/>
        </w:rPr>
      </w:pPr>
      <w:r w:rsidRPr="00E378DB">
        <w:rPr>
          <w:sz w:val="24"/>
          <w:szCs w:val="24"/>
        </w:rPr>
        <w:t xml:space="preserve">Financial Brand.  December 9, 2016.  </w:t>
      </w:r>
      <w:r w:rsidRPr="00E378DB">
        <w:rPr>
          <w:i/>
          <w:sz w:val="24"/>
          <w:szCs w:val="24"/>
        </w:rPr>
        <w:t>Insurtech trends.</w:t>
      </w:r>
    </w:p>
    <w:p w14:paraId="6D382C15" w14:textId="4AEF5E8C" w:rsidR="00E378DB" w:rsidRPr="00E378DB" w:rsidRDefault="000054C9" w:rsidP="00E378DB">
      <w:pPr>
        <w:pStyle w:val="FootnoteText"/>
        <w:rPr>
          <w:sz w:val="24"/>
          <w:szCs w:val="24"/>
        </w:rPr>
      </w:pPr>
      <w:hyperlink r:id="rId15" w:history="1">
        <w:r w:rsidR="00E378DB" w:rsidRPr="00E378DB">
          <w:rPr>
            <w:rStyle w:val="Hyperlink"/>
            <w:rFonts w:eastAsia="Times New Roman" w:cs="Times New Roman"/>
            <w:sz w:val="24"/>
            <w:szCs w:val="24"/>
          </w:rPr>
          <w:t>https://thefinancialbrand.com/62732/insurance-technology-insurtech-trends</w:t>
        </w:r>
      </w:hyperlink>
      <w:r w:rsidR="00E378DB" w:rsidRPr="00E378DB">
        <w:rPr>
          <w:rFonts w:eastAsia="Times New Roman" w:cs="Times New Roman"/>
          <w:color w:val="1E1E1E"/>
          <w:sz w:val="24"/>
          <w:szCs w:val="24"/>
        </w:rPr>
        <w:t>)</w:t>
      </w:r>
    </w:p>
    <w:p w14:paraId="0E99E0F9" w14:textId="77777777" w:rsidR="00E378DB" w:rsidRDefault="00E378DB" w:rsidP="00E378DB">
      <w:pPr>
        <w:pStyle w:val="FootnoteText"/>
        <w:rPr>
          <w:sz w:val="24"/>
          <w:szCs w:val="24"/>
        </w:rPr>
      </w:pPr>
    </w:p>
    <w:p w14:paraId="1DAE75C5" w14:textId="77777777" w:rsidR="00E378DB" w:rsidRDefault="00E378DB" w:rsidP="00E378DB">
      <w:pPr>
        <w:pStyle w:val="FootnoteText"/>
        <w:rPr>
          <w:sz w:val="24"/>
          <w:szCs w:val="24"/>
        </w:rPr>
      </w:pPr>
      <w:r w:rsidRPr="00E378DB">
        <w:rPr>
          <w:sz w:val="24"/>
          <w:szCs w:val="24"/>
        </w:rPr>
        <w:t xml:space="preserve">International Travel and Health Journal.  March 2017.  </w:t>
      </w:r>
      <w:r w:rsidRPr="00E378DB">
        <w:rPr>
          <w:i/>
          <w:sz w:val="24"/>
          <w:szCs w:val="24"/>
        </w:rPr>
        <w:t>Insurtech opportunities could reinvigorate industry</w:t>
      </w:r>
      <w:r w:rsidRPr="00E378DB">
        <w:rPr>
          <w:sz w:val="24"/>
          <w:szCs w:val="24"/>
        </w:rPr>
        <w:t xml:space="preserve">. </w:t>
      </w:r>
    </w:p>
    <w:p w14:paraId="1FA3C039" w14:textId="48E8D46B" w:rsidR="00E378DB" w:rsidRPr="00E378DB" w:rsidRDefault="000054C9" w:rsidP="00E378DB">
      <w:pPr>
        <w:pStyle w:val="FootnoteText"/>
        <w:rPr>
          <w:sz w:val="24"/>
          <w:szCs w:val="24"/>
        </w:rPr>
      </w:pPr>
      <w:hyperlink r:id="rId16" w:history="1">
        <w:r w:rsidR="00E378DB" w:rsidRPr="00E378DB">
          <w:rPr>
            <w:rStyle w:val="Hyperlink"/>
            <w:sz w:val="24"/>
            <w:szCs w:val="24"/>
          </w:rPr>
          <w:t>https://www.itij.com/story/13120</w:t>
        </w:r>
      </w:hyperlink>
    </w:p>
    <w:p w14:paraId="337B6378" w14:textId="77777777" w:rsidR="00E378DB" w:rsidRDefault="00E378DB" w:rsidP="00E378DB">
      <w:pPr>
        <w:pStyle w:val="FootnoteText"/>
        <w:rPr>
          <w:sz w:val="24"/>
          <w:szCs w:val="24"/>
        </w:rPr>
      </w:pPr>
    </w:p>
    <w:p w14:paraId="45F1C534" w14:textId="66E0519F" w:rsidR="00BC6786" w:rsidRPr="00BC6786" w:rsidRDefault="00BC6786" w:rsidP="00BC6786">
      <w:pPr>
        <w:pStyle w:val="FootnoteText"/>
        <w:rPr>
          <w:sz w:val="24"/>
          <w:szCs w:val="24"/>
        </w:rPr>
      </w:pPr>
      <w:r>
        <w:rPr>
          <w:sz w:val="24"/>
          <w:szCs w:val="24"/>
        </w:rPr>
        <w:t xml:space="preserve">Dodd-Frank Wall Street Reform and Consumer Protection Act of 2010 </w:t>
      </w:r>
      <w:hyperlink r:id="rId17" w:history="1">
        <w:r w:rsidRPr="00BC6786">
          <w:rPr>
            <w:rStyle w:val="Hyperlink"/>
            <w:sz w:val="24"/>
            <w:szCs w:val="24"/>
          </w:rPr>
          <w:t>https://www.gpo.gov/fdsys/pkg/USCODE-2011-title31/pdf/USCODE-2011-title31-subtitleI-chap3-subchapI-sec313.pdf</w:t>
        </w:r>
      </w:hyperlink>
      <w:r w:rsidRPr="00BC6786">
        <w:rPr>
          <w:sz w:val="24"/>
          <w:szCs w:val="24"/>
        </w:rPr>
        <w:t xml:space="preserve"> </w:t>
      </w:r>
    </w:p>
    <w:p w14:paraId="4327FFC5" w14:textId="708C003B" w:rsidR="00BC6786" w:rsidRDefault="00BC6786" w:rsidP="00E378DB">
      <w:pPr>
        <w:pStyle w:val="FootnoteText"/>
        <w:rPr>
          <w:sz w:val="24"/>
          <w:szCs w:val="24"/>
        </w:rPr>
      </w:pPr>
    </w:p>
    <w:p w14:paraId="111A046C" w14:textId="2E2855F6" w:rsidR="00BC6786" w:rsidRDefault="00BC6786" w:rsidP="00E378DB">
      <w:pPr>
        <w:pStyle w:val="FootnoteText"/>
        <w:rPr>
          <w:sz w:val="24"/>
          <w:szCs w:val="24"/>
        </w:rPr>
      </w:pPr>
      <w:r>
        <w:rPr>
          <w:sz w:val="24"/>
          <w:szCs w:val="24"/>
        </w:rPr>
        <w:t>Insurance Thoughts Leadership</w:t>
      </w:r>
    </w:p>
    <w:p w14:paraId="4C8EDCDD" w14:textId="5BEE7299" w:rsidR="00BC6786" w:rsidRDefault="000054C9" w:rsidP="00E378DB">
      <w:pPr>
        <w:pStyle w:val="FootnoteText"/>
        <w:rPr>
          <w:sz w:val="24"/>
          <w:szCs w:val="24"/>
        </w:rPr>
      </w:pPr>
      <w:hyperlink r:id="rId18" w:history="1">
        <w:r w:rsidR="00BC6786" w:rsidRPr="005E1702">
          <w:rPr>
            <w:rStyle w:val="Hyperlink"/>
            <w:sz w:val="24"/>
            <w:szCs w:val="24"/>
          </w:rPr>
          <w:t>http://insurancethoughtleadership.com/</w:t>
        </w:r>
      </w:hyperlink>
    </w:p>
    <w:p w14:paraId="247B5212" w14:textId="77777777" w:rsidR="00BC6786" w:rsidRPr="00E378DB" w:rsidRDefault="00BC6786" w:rsidP="00E378DB">
      <w:pPr>
        <w:pStyle w:val="FootnoteText"/>
        <w:rPr>
          <w:sz w:val="24"/>
          <w:szCs w:val="24"/>
        </w:rPr>
      </w:pPr>
      <w:bookmarkStart w:id="0" w:name="_GoBack"/>
      <w:bookmarkEnd w:id="0"/>
    </w:p>
    <w:p w14:paraId="277ED283" w14:textId="77777777" w:rsidR="000D08BC" w:rsidRPr="000D08BC" w:rsidRDefault="000D08BC" w:rsidP="007813CD">
      <w:pPr>
        <w:spacing w:before="100" w:beforeAutospacing="1" w:after="0" w:line="240" w:lineRule="auto"/>
        <w:rPr>
          <w:rFonts w:eastAsia="Times New Roman" w:cs="Times New Roman"/>
          <w:color w:val="1E1E1E"/>
          <w:sz w:val="24"/>
          <w:szCs w:val="24"/>
        </w:rPr>
      </w:pPr>
    </w:p>
    <w:p w14:paraId="1693C179" w14:textId="77777777" w:rsidR="00925AF3" w:rsidRPr="00EC6E87" w:rsidRDefault="00925AF3" w:rsidP="00054C27">
      <w:pPr>
        <w:spacing w:before="100" w:beforeAutospacing="1" w:after="0" w:line="240" w:lineRule="auto"/>
        <w:rPr>
          <w:rFonts w:eastAsia="Times New Roman" w:cs="Times New Roman"/>
          <w:color w:val="1E1E1E"/>
          <w:sz w:val="24"/>
          <w:szCs w:val="24"/>
        </w:rPr>
      </w:pPr>
    </w:p>
    <w:p w14:paraId="3D71FC2D" w14:textId="77777777" w:rsidR="00D74C1D" w:rsidRPr="00EC6E87" w:rsidRDefault="00D74C1D" w:rsidP="00D74C1D">
      <w:pPr>
        <w:spacing w:before="100" w:beforeAutospacing="1" w:after="300" w:line="240" w:lineRule="auto"/>
        <w:rPr>
          <w:rFonts w:eastAsia="Times New Roman" w:cs="Times New Roman"/>
          <w:color w:val="1E1E1E"/>
          <w:sz w:val="24"/>
          <w:szCs w:val="24"/>
        </w:rPr>
      </w:pPr>
    </w:p>
    <w:p w14:paraId="58E40D2F" w14:textId="77777777" w:rsidR="00D74C1D" w:rsidRPr="00EC6E87" w:rsidRDefault="00D74C1D" w:rsidP="00D74C1D">
      <w:pPr>
        <w:spacing w:before="100" w:beforeAutospacing="1" w:after="300" w:line="240" w:lineRule="auto"/>
        <w:rPr>
          <w:rFonts w:eastAsia="Times New Roman" w:cs="Times New Roman"/>
          <w:color w:val="1E1E1E"/>
          <w:sz w:val="24"/>
          <w:szCs w:val="24"/>
        </w:rPr>
      </w:pPr>
      <w:r w:rsidRPr="00EC6E87">
        <w:rPr>
          <w:rFonts w:eastAsia="Times New Roman" w:cs="Times New Roman"/>
          <w:color w:val="1E1E1E"/>
          <w:sz w:val="24"/>
          <w:szCs w:val="24"/>
        </w:rPr>
        <w:t xml:space="preserve"> </w:t>
      </w:r>
    </w:p>
    <w:p w14:paraId="3FDA9ED0" w14:textId="77777777" w:rsidR="0090022B" w:rsidRPr="00EC6E87" w:rsidRDefault="00205F6B" w:rsidP="00D2682D">
      <w:pPr>
        <w:pStyle w:val="Default"/>
        <w:rPr>
          <w:rFonts w:asciiTheme="minorHAnsi" w:hAnsiTheme="minorHAnsi"/>
        </w:rPr>
      </w:pPr>
      <w:r w:rsidRPr="00EC6E87">
        <w:rPr>
          <w:rFonts w:asciiTheme="minorHAnsi" w:hAnsiTheme="minorHAnsi"/>
        </w:rPr>
        <w:br/>
      </w:r>
      <w:r w:rsidRPr="00EC6E87">
        <w:rPr>
          <w:rFonts w:asciiTheme="minorHAnsi" w:hAnsiTheme="minorHAnsi"/>
        </w:rPr>
        <w:br/>
        <w:t xml:space="preserve"> </w:t>
      </w:r>
    </w:p>
    <w:p w14:paraId="410B6A21" w14:textId="77777777" w:rsidR="00D2682D" w:rsidRPr="00EC6E87" w:rsidRDefault="00D2682D" w:rsidP="00D2682D">
      <w:pPr>
        <w:pStyle w:val="Default"/>
        <w:rPr>
          <w:rFonts w:asciiTheme="minorHAnsi" w:hAnsiTheme="minorHAnsi"/>
        </w:rPr>
      </w:pPr>
    </w:p>
    <w:p w14:paraId="6DF34249" w14:textId="77777777" w:rsidR="004A7B6F" w:rsidRPr="00EC6E87" w:rsidRDefault="004A7B6F" w:rsidP="0090022B">
      <w:pPr>
        <w:pStyle w:val="NormalWeb"/>
        <w:rPr>
          <w:rFonts w:asciiTheme="minorHAnsi" w:hAnsiTheme="minorHAnsi"/>
          <w:lang w:val="en"/>
        </w:rPr>
      </w:pPr>
    </w:p>
    <w:p w14:paraId="2842E39B" w14:textId="77777777" w:rsidR="00355D76" w:rsidRPr="00EC6E87" w:rsidRDefault="00355D76" w:rsidP="0090022B">
      <w:pPr>
        <w:pStyle w:val="NormalWeb"/>
        <w:rPr>
          <w:rFonts w:asciiTheme="minorHAnsi" w:hAnsiTheme="minorHAnsi"/>
          <w:lang w:val="en"/>
        </w:rPr>
      </w:pPr>
    </w:p>
    <w:p w14:paraId="2922792B" w14:textId="77777777" w:rsidR="0090022B" w:rsidRPr="00EC6E87" w:rsidRDefault="0090022B">
      <w:pPr>
        <w:rPr>
          <w:sz w:val="24"/>
          <w:szCs w:val="24"/>
        </w:rPr>
      </w:pPr>
      <w:r w:rsidRPr="00EC6E87">
        <w:rPr>
          <w:sz w:val="24"/>
          <w:szCs w:val="24"/>
        </w:rPr>
        <w:t xml:space="preserve">   </w:t>
      </w:r>
    </w:p>
    <w:sectPr w:rsidR="0090022B" w:rsidRPr="00EC6E8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FB1E0" w14:textId="77777777" w:rsidR="000054C9" w:rsidRDefault="000054C9" w:rsidP="00F44FB7">
      <w:pPr>
        <w:spacing w:after="0" w:line="240" w:lineRule="auto"/>
      </w:pPr>
      <w:r>
        <w:separator/>
      </w:r>
    </w:p>
  </w:endnote>
  <w:endnote w:type="continuationSeparator" w:id="0">
    <w:p w14:paraId="73D607E9" w14:textId="77777777" w:rsidR="000054C9" w:rsidRDefault="000054C9" w:rsidP="00F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649B" w14:textId="77777777" w:rsidR="00EA5F1D" w:rsidRDefault="00EA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ACE10" w14:textId="77777777" w:rsidR="00EA5F1D" w:rsidRDefault="00EA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B0E0F" w14:textId="77777777" w:rsidR="00EA5F1D" w:rsidRDefault="00EA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30510" w14:textId="77777777" w:rsidR="000054C9" w:rsidRDefault="000054C9" w:rsidP="00F44FB7">
      <w:pPr>
        <w:spacing w:after="0" w:line="240" w:lineRule="auto"/>
      </w:pPr>
      <w:r>
        <w:separator/>
      </w:r>
    </w:p>
  </w:footnote>
  <w:footnote w:type="continuationSeparator" w:id="0">
    <w:p w14:paraId="4F411334" w14:textId="77777777" w:rsidR="000054C9" w:rsidRDefault="000054C9" w:rsidP="00F44FB7">
      <w:pPr>
        <w:spacing w:after="0" w:line="240" w:lineRule="auto"/>
      </w:pPr>
      <w:r>
        <w:continuationSeparator/>
      </w:r>
    </w:p>
  </w:footnote>
  <w:footnote w:id="1">
    <w:p w14:paraId="5EA9C5B9" w14:textId="4D5C910E" w:rsidR="00F44FB7" w:rsidRDefault="00F44FB7">
      <w:pPr>
        <w:pStyle w:val="FootnoteText"/>
      </w:pPr>
      <w:r>
        <w:rPr>
          <w:rStyle w:val="FootnoteReference"/>
        </w:rPr>
        <w:footnoteRef/>
      </w:r>
      <w:r>
        <w:t xml:space="preserve"> </w:t>
      </w:r>
      <w:r w:rsidR="000D08BC">
        <w:t xml:space="preserve">Scott Schmith and Vincent Tran, </w:t>
      </w:r>
      <w:r w:rsidR="000D08BC" w:rsidRPr="000D08BC">
        <w:rPr>
          <w:i/>
        </w:rPr>
        <w:t xml:space="preserve">Financial Technology </w:t>
      </w:r>
      <w:r w:rsidRPr="000D08BC">
        <w:rPr>
          <w:i/>
        </w:rPr>
        <w:t>Top Markets Report</w:t>
      </w:r>
      <w:r w:rsidR="000D08BC">
        <w:t xml:space="preserve">, International Trade Administration, June 2016. </w:t>
      </w:r>
    </w:p>
  </w:footnote>
  <w:footnote w:id="2">
    <w:p w14:paraId="3213204D" w14:textId="4AA4F9BF" w:rsidR="004643C1" w:rsidRPr="000D08BC" w:rsidRDefault="004643C1" w:rsidP="004643C1">
      <w:pPr>
        <w:pStyle w:val="FootnoteText"/>
      </w:pPr>
      <w:r>
        <w:rPr>
          <w:rStyle w:val="FootnoteReference"/>
        </w:rPr>
        <w:footnoteRef/>
      </w:r>
      <w:r w:rsidR="000D08BC">
        <w:t xml:space="preserve"> Alan McQuinn, Weining Guo, and Daniel Castro, </w:t>
      </w:r>
      <w:r w:rsidR="000D08BC" w:rsidRPr="000D08BC">
        <w:rPr>
          <w:i/>
        </w:rPr>
        <w:t>Policy Principles for FinTech/Information Tech</w:t>
      </w:r>
      <w:r w:rsidR="000D08BC">
        <w:rPr>
          <w:i/>
        </w:rPr>
        <w:t xml:space="preserve">nology and Innovation Foundation, </w:t>
      </w:r>
      <w:r w:rsidR="000D08BC">
        <w:t>November 2016.</w:t>
      </w:r>
    </w:p>
  </w:footnote>
  <w:footnote w:id="3">
    <w:p w14:paraId="5FAC07C3" w14:textId="23C248BF" w:rsidR="008F7098" w:rsidRDefault="008F7098">
      <w:pPr>
        <w:pStyle w:val="FootnoteText"/>
      </w:pPr>
      <w:r>
        <w:rPr>
          <w:rStyle w:val="FootnoteReference"/>
        </w:rPr>
        <w:footnoteRef/>
      </w:r>
      <w:r w:rsidR="000D08BC">
        <w:t xml:space="preserve"> Andrew Meola. </w:t>
      </w:r>
      <w:r w:rsidRPr="00DC68AF">
        <w:rPr>
          <w:i/>
        </w:rPr>
        <w:t>Fintech report</w:t>
      </w:r>
      <w:r w:rsidR="000D08BC" w:rsidRPr="00DC68AF">
        <w:rPr>
          <w:i/>
        </w:rPr>
        <w:t xml:space="preserve"> 2016</w:t>
      </w:r>
      <w:r w:rsidR="000D08BC">
        <w:t xml:space="preserve">, Business Insider </w:t>
      </w:r>
      <w:r w:rsidRPr="008F7098">
        <w:t>http://www.businessinsider.com/the-fintech-report-2016-financial-industry-trends-and-investment-2016-12</w:t>
      </w:r>
    </w:p>
  </w:footnote>
  <w:footnote w:id="4">
    <w:p w14:paraId="65B2A5B2" w14:textId="2163A8A8" w:rsidR="008F7098" w:rsidRDefault="008F7098">
      <w:pPr>
        <w:pStyle w:val="FootnoteText"/>
      </w:pPr>
      <w:r>
        <w:rPr>
          <w:rStyle w:val="FootnoteReference"/>
        </w:rPr>
        <w:footnoteRef/>
      </w:r>
      <w:r>
        <w:t xml:space="preserve"> </w:t>
      </w:r>
      <w:r w:rsidR="000D08BC">
        <w:t>Ibid, McQuinn, Guo, and Castro</w:t>
      </w:r>
      <w:r w:rsidR="00171C18" w:rsidRPr="00171C18">
        <w:t xml:space="preserve"> </w:t>
      </w:r>
    </w:p>
  </w:footnote>
  <w:footnote w:id="5">
    <w:p w14:paraId="118B800C" w14:textId="6033BA2B" w:rsidR="00171C18" w:rsidRDefault="00171C18">
      <w:pPr>
        <w:pStyle w:val="FootnoteText"/>
      </w:pPr>
      <w:r>
        <w:rPr>
          <w:rStyle w:val="FootnoteReference"/>
        </w:rPr>
        <w:footnoteRef/>
      </w:r>
      <w:r>
        <w:t xml:space="preserve"> McKinsey Global Banking Review 201</w:t>
      </w:r>
      <w:r w:rsidR="00DC68AF">
        <w:t xml:space="preserve">5,  </w:t>
      </w:r>
      <w:r w:rsidRPr="00DC68AF">
        <w:rPr>
          <w:i/>
        </w:rPr>
        <w:t>Fight for the Customer</w:t>
      </w:r>
      <w:r>
        <w:t>/</w:t>
      </w:r>
      <w:r w:rsidRPr="00171C18">
        <w:t xml:space="preserve"> http://www.mckinsey.com/industries/financial-services/our-insights/the-fight-for-the-customer-mckinsey-global-banking-annual-review-2015</w:t>
      </w:r>
    </w:p>
  </w:footnote>
  <w:footnote w:id="6">
    <w:p w14:paraId="2FBC12CB" w14:textId="34C3B9F2" w:rsidR="00171C18" w:rsidRDefault="00171C18">
      <w:pPr>
        <w:pStyle w:val="FootnoteText"/>
      </w:pPr>
      <w:r>
        <w:rPr>
          <w:rStyle w:val="FootnoteReference"/>
        </w:rPr>
        <w:footnoteRef/>
      </w:r>
      <w:r w:rsidR="00DC68AF">
        <w:t xml:space="preserve"> </w:t>
      </w:r>
      <w:r w:rsidR="000A5622">
        <w:t>Let’s</w:t>
      </w:r>
      <w:r w:rsidR="00E378DB">
        <w:t xml:space="preserve"> Talk Payments.  October </w:t>
      </w:r>
      <w:r w:rsidR="00DC68AF">
        <w:t xml:space="preserve">2015.  </w:t>
      </w:r>
      <w:r w:rsidRPr="00DC68AF">
        <w:rPr>
          <w:i/>
        </w:rPr>
        <w:t xml:space="preserve">How Banks are joining hands with fintech firms to </w:t>
      </w:r>
      <w:r w:rsidR="00DC68AF" w:rsidRPr="00DC68AF">
        <w:rPr>
          <w:i/>
        </w:rPr>
        <w:t>serve customers</w:t>
      </w:r>
      <w:r w:rsidR="00DC68AF">
        <w:t>.</w:t>
      </w:r>
    </w:p>
  </w:footnote>
  <w:footnote w:id="7">
    <w:p w14:paraId="5D29C5B1" w14:textId="5921B709" w:rsidR="007E56A2" w:rsidRDefault="007E56A2" w:rsidP="007E56A2">
      <w:pPr>
        <w:pStyle w:val="FootnoteText"/>
      </w:pPr>
      <w:r>
        <w:rPr>
          <w:rStyle w:val="FootnoteReference"/>
        </w:rPr>
        <w:footnoteRef/>
      </w:r>
      <w:r w:rsidR="00DC68AF">
        <w:t xml:space="preserve"> OECD.  December 2016.  </w:t>
      </w:r>
      <w:r w:rsidRPr="00DC68AF">
        <w:rPr>
          <w:i/>
        </w:rPr>
        <w:t>Technology and Innovation in th</w:t>
      </w:r>
      <w:r w:rsidR="00DC68AF" w:rsidRPr="00DC68AF">
        <w:rPr>
          <w:i/>
        </w:rPr>
        <w:t>e Insurance Sector</w:t>
      </w:r>
      <w:r w:rsidR="00DC68AF">
        <w:t xml:space="preserve">.  </w:t>
      </w:r>
    </w:p>
  </w:footnote>
  <w:footnote w:id="8">
    <w:p w14:paraId="2692103D" w14:textId="24C8378D" w:rsidR="004643C1" w:rsidRPr="00E378DB" w:rsidRDefault="004643C1">
      <w:pPr>
        <w:pStyle w:val="FootnoteText"/>
        <w:rPr>
          <w:i/>
        </w:rPr>
      </w:pPr>
      <w:r>
        <w:rPr>
          <w:rStyle w:val="FootnoteReference"/>
        </w:rPr>
        <w:footnoteRef/>
      </w:r>
      <w:r w:rsidR="00E378DB">
        <w:t xml:space="preserve"> Moody’s Investors Services.  June 2016.  </w:t>
      </w:r>
      <w:r w:rsidRPr="00E378DB">
        <w:rPr>
          <w:i/>
        </w:rPr>
        <w:t>Internet of things brings short term benefits, long te</w:t>
      </w:r>
      <w:r w:rsidR="00E378DB" w:rsidRPr="00E378DB">
        <w:rPr>
          <w:i/>
        </w:rPr>
        <w:t>rm disruption/Sector in Depth</w:t>
      </w:r>
    </w:p>
  </w:footnote>
  <w:footnote w:id="9">
    <w:p w14:paraId="4C85AE14" w14:textId="70966430" w:rsidR="00171C18" w:rsidRDefault="00171C18">
      <w:pPr>
        <w:pStyle w:val="FootnoteText"/>
      </w:pPr>
      <w:r>
        <w:rPr>
          <w:rStyle w:val="FootnoteReference"/>
        </w:rPr>
        <w:footnoteRef/>
      </w:r>
      <w:r w:rsidR="00BC6786">
        <w:t xml:space="preserve"> Financial Brand.  December 9, 2016.  </w:t>
      </w:r>
    </w:p>
  </w:footnote>
  <w:footnote w:id="10">
    <w:p w14:paraId="64CD1573" w14:textId="0A1E3D85" w:rsidR="00863D04" w:rsidRDefault="00863D04">
      <w:pPr>
        <w:pStyle w:val="FootnoteText"/>
      </w:pPr>
      <w:r>
        <w:rPr>
          <w:rStyle w:val="FootnoteReference"/>
        </w:rPr>
        <w:footnoteRef/>
      </w:r>
      <w:r>
        <w:t xml:space="preserve"> Internat</w:t>
      </w:r>
      <w:r w:rsidR="00BC6786">
        <w:t xml:space="preserve">ional Travel and Health Journal.  </w:t>
      </w:r>
      <w:r>
        <w:t xml:space="preserve">March </w:t>
      </w:r>
      <w:r w:rsidR="00BC6786">
        <w:t xml:space="preserve">2017.  </w:t>
      </w:r>
      <w:r w:rsidR="00BC6786" w:rsidRPr="00BC6786">
        <w:rPr>
          <w:i/>
        </w:rPr>
        <w:t>Insurtech opportunities could reinvigorate industry</w:t>
      </w:r>
      <w:r w:rsidR="00BC6786">
        <w:t xml:space="preserve">.  </w:t>
      </w:r>
      <w:r w:rsidRPr="00863D04">
        <w:t xml:space="preserve"> </w:t>
      </w:r>
    </w:p>
  </w:footnote>
  <w:footnote w:id="11">
    <w:p w14:paraId="015CA43C" w14:textId="53D8B0B3" w:rsidR="00A97815" w:rsidRDefault="00A97815">
      <w:pPr>
        <w:pStyle w:val="FootnoteText"/>
      </w:pPr>
      <w:r>
        <w:rPr>
          <w:rStyle w:val="FootnoteReference"/>
        </w:rPr>
        <w:footnoteRef/>
      </w:r>
      <w:r>
        <w:t xml:space="preserve"> Ibid, McQuinn</w:t>
      </w:r>
      <w:r w:rsidR="00BC6786">
        <w:t>, Guo and Castro.</w:t>
      </w:r>
      <w:r>
        <w:t xml:space="preserve"> p.23-24</w:t>
      </w:r>
      <w:r w:rsidR="00CB2EFE">
        <w:t>.</w:t>
      </w:r>
    </w:p>
  </w:footnote>
  <w:footnote w:id="12">
    <w:p w14:paraId="27CD1982" w14:textId="477741EE" w:rsidR="00B30D21" w:rsidRDefault="00B30D21">
      <w:pPr>
        <w:pStyle w:val="FootnoteText"/>
      </w:pPr>
      <w:r>
        <w:rPr>
          <w:rStyle w:val="FootnoteReference"/>
        </w:rPr>
        <w:footnoteRef/>
      </w:r>
      <w:r>
        <w:t xml:space="preserve"> </w:t>
      </w:r>
      <w:r w:rsidRPr="00B30D21">
        <w:t xml:space="preserve">31 U.S.C. 313 </w:t>
      </w:r>
      <w:r>
        <w:t xml:space="preserve">Federal Insurance Office &amp; </w:t>
      </w:r>
      <w:r w:rsidR="00EC3B01" w:rsidRPr="00B30D21">
        <w:t xml:space="preserve">31 U.S.C. </w:t>
      </w:r>
      <w:r>
        <w:t>314 Covered Agreements</w:t>
      </w:r>
      <w:r w:rsidR="00CB2EFE">
        <w:t>.</w:t>
      </w:r>
    </w:p>
  </w:footnote>
  <w:footnote w:id="13">
    <w:p w14:paraId="11BC6473" w14:textId="4529135D" w:rsidR="00870B85" w:rsidRDefault="00870B85">
      <w:pPr>
        <w:pStyle w:val="FootnoteText"/>
      </w:pPr>
      <w:r>
        <w:rPr>
          <w:rStyle w:val="FootnoteReference"/>
        </w:rPr>
        <w:footnoteRef/>
      </w:r>
      <w:r>
        <w:t xml:space="preserve"> Department of Treas</w:t>
      </w:r>
      <w:r w:rsidR="00CB2EFE">
        <w:t xml:space="preserve">ury.  </w:t>
      </w:r>
      <w:r>
        <w:t>Financ</w:t>
      </w:r>
      <w:r w:rsidR="00CB2EFE">
        <w:t>ial Stability Oversight Council.</w:t>
      </w:r>
    </w:p>
  </w:footnote>
  <w:footnote w:id="14">
    <w:p w14:paraId="0366522C" w14:textId="6F3A28B7" w:rsidR="00BC4A3F" w:rsidRDefault="00BC4A3F">
      <w:pPr>
        <w:pStyle w:val="FootnoteText"/>
      </w:pPr>
      <w:r>
        <w:rPr>
          <w:rStyle w:val="FootnoteReference"/>
        </w:rPr>
        <w:footnoteRef/>
      </w:r>
      <w:r w:rsidR="00BC6786">
        <w:t xml:space="preserve"> Ibid, 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2B12" w14:textId="77777777" w:rsidR="00EA5F1D" w:rsidRDefault="00EA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F4BC" w14:textId="001456B4" w:rsidR="00EA5F1D" w:rsidRDefault="00EA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4B049" w14:textId="77777777" w:rsidR="00EA5F1D" w:rsidRDefault="00EA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E596A"/>
    <w:multiLevelType w:val="hybridMultilevel"/>
    <w:tmpl w:val="1F6A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705FA"/>
    <w:multiLevelType w:val="hybridMultilevel"/>
    <w:tmpl w:val="E74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07139"/>
    <w:multiLevelType w:val="hybridMultilevel"/>
    <w:tmpl w:val="D256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2B"/>
    <w:rsid w:val="000054C9"/>
    <w:rsid w:val="00041322"/>
    <w:rsid w:val="00054C27"/>
    <w:rsid w:val="000600E5"/>
    <w:rsid w:val="000661CD"/>
    <w:rsid w:val="00076C2D"/>
    <w:rsid w:val="000A5622"/>
    <w:rsid w:val="000D08BC"/>
    <w:rsid w:val="001275E0"/>
    <w:rsid w:val="00134B99"/>
    <w:rsid w:val="0016394A"/>
    <w:rsid w:val="00171C18"/>
    <w:rsid w:val="0017252F"/>
    <w:rsid w:val="00192A68"/>
    <w:rsid w:val="001A703A"/>
    <w:rsid w:val="001C48F1"/>
    <w:rsid w:val="001D29BA"/>
    <w:rsid w:val="001D3C6B"/>
    <w:rsid w:val="00205E2D"/>
    <w:rsid w:val="00205F6B"/>
    <w:rsid w:val="00243E74"/>
    <w:rsid w:val="00245F3D"/>
    <w:rsid w:val="00257C9C"/>
    <w:rsid w:val="0028205A"/>
    <w:rsid w:val="00293414"/>
    <w:rsid w:val="002C5FF2"/>
    <w:rsid w:val="002C6775"/>
    <w:rsid w:val="002D7A28"/>
    <w:rsid w:val="002E71B8"/>
    <w:rsid w:val="002F31C0"/>
    <w:rsid w:val="003364F3"/>
    <w:rsid w:val="00340A62"/>
    <w:rsid w:val="00355D76"/>
    <w:rsid w:val="00364975"/>
    <w:rsid w:val="003B75C8"/>
    <w:rsid w:val="004267EC"/>
    <w:rsid w:val="00430C62"/>
    <w:rsid w:val="004632A4"/>
    <w:rsid w:val="004643C1"/>
    <w:rsid w:val="00464CD3"/>
    <w:rsid w:val="00482CF1"/>
    <w:rsid w:val="004A7B6F"/>
    <w:rsid w:val="004F0485"/>
    <w:rsid w:val="00514427"/>
    <w:rsid w:val="005502D5"/>
    <w:rsid w:val="005A0AAD"/>
    <w:rsid w:val="005B3EA7"/>
    <w:rsid w:val="005C6D67"/>
    <w:rsid w:val="005C710D"/>
    <w:rsid w:val="005D7FD3"/>
    <w:rsid w:val="006A52C4"/>
    <w:rsid w:val="006C34B6"/>
    <w:rsid w:val="006E1314"/>
    <w:rsid w:val="007154D7"/>
    <w:rsid w:val="0073012C"/>
    <w:rsid w:val="00737B57"/>
    <w:rsid w:val="00754659"/>
    <w:rsid w:val="007659E9"/>
    <w:rsid w:val="007813CD"/>
    <w:rsid w:val="00790842"/>
    <w:rsid w:val="007B338C"/>
    <w:rsid w:val="007E56A2"/>
    <w:rsid w:val="007E7E29"/>
    <w:rsid w:val="007F1A66"/>
    <w:rsid w:val="0085460E"/>
    <w:rsid w:val="00863D04"/>
    <w:rsid w:val="00870B85"/>
    <w:rsid w:val="008F7098"/>
    <w:rsid w:val="0090022B"/>
    <w:rsid w:val="009028A0"/>
    <w:rsid w:val="00905F7C"/>
    <w:rsid w:val="00925AF3"/>
    <w:rsid w:val="00957F9B"/>
    <w:rsid w:val="009600B1"/>
    <w:rsid w:val="00966834"/>
    <w:rsid w:val="00995B08"/>
    <w:rsid w:val="009D2A9E"/>
    <w:rsid w:val="009E5C07"/>
    <w:rsid w:val="00A1708B"/>
    <w:rsid w:val="00A40E8B"/>
    <w:rsid w:val="00A504BE"/>
    <w:rsid w:val="00A97054"/>
    <w:rsid w:val="00A97815"/>
    <w:rsid w:val="00AA02F3"/>
    <w:rsid w:val="00AB1FE9"/>
    <w:rsid w:val="00AC60F2"/>
    <w:rsid w:val="00AF15E5"/>
    <w:rsid w:val="00AF2E98"/>
    <w:rsid w:val="00B1622F"/>
    <w:rsid w:val="00B30D21"/>
    <w:rsid w:val="00B42824"/>
    <w:rsid w:val="00B55220"/>
    <w:rsid w:val="00B845C4"/>
    <w:rsid w:val="00BC2E24"/>
    <w:rsid w:val="00BC4109"/>
    <w:rsid w:val="00BC4A3F"/>
    <w:rsid w:val="00BC6786"/>
    <w:rsid w:val="00BD3494"/>
    <w:rsid w:val="00C15869"/>
    <w:rsid w:val="00C17923"/>
    <w:rsid w:val="00C5656F"/>
    <w:rsid w:val="00C905A9"/>
    <w:rsid w:val="00CB2EFE"/>
    <w:rsid w:val="00D2682D"/>
    <w:rsid w:val="00D30184"/>
    <w:rsid w:val="00D74C1D"/>
    <w:rsid w:val="00D83DE8"/>
    <w:rsid w:val="00D92420"/>
    <w:rsid w:val="00D94404"/>
    <w:rsid w:val="00DC68AF"/>
    <w:rsid w:val="00DD0BB8"/>
    <w:rsid w:val="00DD6B80"/>
    <w:rsid w:val="00DE703D"/>
    <w:rsid w:val="00E378DB"/>
    <w:rsid w:val="00EA1E8E"/>
    <w:rsid w:val="00EA24CC"/>
    <w:rsid w:val="00EA5F1D"/>
    <w:rsid w:val="00EB387B"/>
    <w:rsid w:val="00EC3B01"/>
    <w:rsid w:val="00EC6E87"/>
    <w:rsid w:val="00F44FB7"/>
    <w:rsid w:val="00FB4E11"/>
    <w:rsid w:val="00FB4EE2"/>
    <w:rsid w:val="00FE4A46"/>
    <w:rsid w:val="00FF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682D"/>
    <w:pPr>
      <w:autoSpaceDE w:val="0"/>
      <w:autoSpaceDN w:val="0"/>
      <w:adjustRightInd w:val="0"/>
      <w:spacing w:after="0" w:line="240" w:lineRule="auto"/>
    </w:pPr>
    <w:rPr>
      <w:rFonts w:ascii="Adobe Garamond Pro" w:hAnsi="Adobe Garamond Pro" w:cs="Adobe Garamond Pro"/>
      <w:color w:val="000000"/>
      <w:sz w:val="24"/>
      <w:szCs w:val="24"/>
    </w:rPr>
  </w:style>
  <w:style w:type="character" w:styleId="Hyperlink">
    <w:name w:val="Hyperlink"/>
    <w:basedOn w:val="DefaultParagraphFont"/>
    <w:uiPriority w:val="99"/>
    <w:unhideWhenUsed/>
    <w:rsid w:val="00957F9B"/>
    <w:rPr>
      <w:color w:val="0563C1" w:themeColor="hyperlink"/>
      <w:u w:val="single"/>
    </w:rPr>
  </w:style>
  <w:style w:type="paragraph" w:customStyle="1" w:styleId="summary1">
    <w:name w:val="summary1"/>
    <w:basedOn w:val="Normal"/>
    <w:rsid w:val="00D74C1D"/>
    <w:pPr>
      <w:spacing w:after="75" w:line="240" w:lineRule="auto"/>
    </w:pPr>
    <w:rPr>
      <w:rFonts w:ascii="Times New Roman" w:eastAsia="Times New Roman" w:hAnsi="Times New Roman" w:cs="Times New Roman"/>
      <w:color w:val="444444"/>
      <w:spacing w:val="-6"/>
      <w:sz w:val="30"/>
      <w:szCs w:val="30"/>
    </w:rPr>
  </w:style>
  <w:style w:type="paragraph" w:styleId="ListParagraph">
    <w:name w:val="List Paragraph"/>
    <w:basedOn w:val="Normal"/>
    <w:uiPriority w:val="34"/>
    <w:qFormat/>
    <w:rsid w:val="00D83DE8"/>
    <w:pPr>
      <w:ind w:left="720"/>
      <w:contextualSpacing/>
    </w:pPr>
  </w:style>
  <w:style w:type="paragraph" w:styleId="FootnoteText">
    <w:name w:val="footnote text"/>
    <w:basedOn w:val="Normal"/>
    <w:link w:val="FootnoteTextChar"/>
    <w:uiPriority w:val="99"/>
    <w:semiHidden/>
    <w:unhideWhenUsed/>
    <w:rsid w:val="00F44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FB7"/>
    <w:rPr>
      <w:sz w:val="20"/>
      <w:szCs w:val="20"/>
    </w:rPr>
  </w:style>
  <w:style w:type="character" w:styleId="FootnoteReference">
    <w:name w:val="footnote reference"/>
    <w:basedOn w:val="DefaultParagraphFont"/>
    <w:uiPriority w:val="99"/>
    <w:semiHidden/>
    <w:unhideWhenUsed/>
    <w:rsid w:val="00F44FB7"/>
    <w:rPr>
      <w:vertAlign w:val="superscript"/>
    </w:rPr>
  </w:style>
  <w:style w:type="paragraph" w:styleId="Header">
    <w:name w:val="header"/>
    <w:basedOn w:val="Normal"/>
    <w:link w:val="HeaderChar"/>
    <w:uiPriority w:val="99"/>
    <w:unhideWhenUsed/>
    <w:rsid w:val="00EA5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F1D"/>
  </w:style>
  <w:style w:type="paragraph" w:styleId="Footer">
    <w:name w:val="footer"/>
    <w:basedOn w:val="Normal"/>
    <w:link w:val="FooterChar"/>
    <w:uiPriority w:val="99"/>
    <w:unhideWhenUsed/>
    <w:rsid w:val="00EA5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F1D"/>
  </w:style>
  <w:style w:type="paragraph" w:styleId="NoSpacing">
    <w:name w:val="No Spacing"/>
    <w:link w:val="NoSpacingChar"/>
    <w:uiPriority w:val="1"/>
    <w:qFormat/>
    <w:rsid w:val="005A0AAD"/>
    <w:pPr>
      <w:spacing w:after="0" w:line="240" w:lineRule="auto"/>
    </w:pPr>
    <w:rPr>
      <w:rFonts w:eastAsiaTheme="minorEastAsia"/>
    </w:rPr>
  </w:style>
  <w:style w:type="character" w:customStyle="1" w:styleId="NoSpacingChar">
    <w:name w:val="No Spacing Char"/>
    <w:basedOn w:val="DefaultParagraphFont"/>
    <w:link w:val="NoSpacing"/>
    <w:uiPriority w:val="1"/>
    <w:rsid w:val="005A0AAD"/>
    <w:rPr>
      <w:rFonts w:eastAsiaTheme="minorEastAsia"/>
    </w:rPr>
  </w:style>
  <w:style w:type="character" w:styleId="CommentReference">
    <w:name w:val="annotation reference"/>
    <w:basedOn w:val="DefaultParagraphFont"/>
    <w:uiPriority w:val="99"/>
    <w:semiHidden/>
    <w:unhideWhenUsed/>
    <w:rsid w:val="005B3EA7"/>
    <w:rPr>
      <w:sz w:val="16"/>
      <w:szCs w:val="16"/>
    </w:rPr>
  </w:style>
  <w:style w:type="paragraph" w:styleId="CommentText">
    <w:name w:val="annotation text"/>
    <w:basedOn w:val="Normal"/>
    <w:link w:val="CommentTextChar"/>
    <w:uiPriority w:val="99"/>
    <w:semiHidden/>
    <w:unhideWhenUsed/>
    <w:rsid w:val="005B3EA7"/>
    <w:pPr>
      <w:spacing w:line="240" w:lineRule="auto"/>
    </w:pPr>
    <w:rPr>
      <w:sz w:val="20"/>
      <w:szCs w:val="20"/>
    </w:rPr>
  </w:style>
  <w:style w:type="character" w:customStyle="1" w:styleId="CommentTextChar">
    <w:name w:val="Comment Text Char"/>
    <w:basedOn w:val="DefaultParagraphFont"/>
    <w:link w:val="CommentText"/>
    <w:uiPriority w:val="99"/>
    <w:semiHidden/>
    <w:rsid w:val="005B3EA7"/>
    <w:rPr>
      <w:sz w:val="20"/>
      <w:szCs w:val="20"/>
    </w:rPr>
  </w:style>
  <w:style w:type="paragraph" w:styleId="CommentSubject">
    <w:name w:val="annotation subject"/>
    <w:basedOn w:val="CommentText"/>
    <w:next w:val="CommentText"/>
    <w:link w:val="CommentSubjectChar"/>
    <w:uiPriority w:val="99"/>
    <w:semiHidden/>
    <w:unhideWhenUsed/>
    <w:rsid w:val="005B3EA7"/>
    <w:rPr>
      <w:b/>
      <w:bCs/>
    </w:rPr>
  </w:style>
  <w:style w:type="character" w:customStyle="1" w:styleId="CommentSubjectChar">
    <w:name w:val="Comment Subject Char"/>
    <w:basedOn w:val="CommentTextChar"/>
    <w:link w:val="CommentSubject"/>
    <w:uiPriority w:val="99"/>
    <w:semiHidden/>
    <w:rsid w:val="005B3EA7"/>
    <w:rPr>
      <w:b/>
      <w:bCs/>
      <w:sz w:val="20"/>
      <w:szCs w:val="20"/>
    </w:rPr>
  </w:style>
  <w:style w:type="paragraph" w:styleId="BalloonText">
    <w:name w:val="Balloon Text"/>
    <w:basedOn w:val="Normal"/>
    <w:link w:val="BalloonTextChar"/>
    <w:uiPriority w:val="99"/>
    <w:semiHidden/>
    <w:unhideWhenUsed/>
    <w:rsid w:val="005B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A7"/>
    <w:rPr>
      <w:rFonts w:ascii="Tahoma" w:hAnsi="Tahoma" w:cs="Tahoma"/>
      <w:sz w:val="16"/>
      <w:szCs w:val="16"/>
    </w:rPr>
  </w:style>
  <w:style w:type="character" w:customStyle="1" w:styleId="apple-converted-space">
    <w:name w:val="apple-converted-space"/>
    <w:basedOn w:val="DefaultParagraphFont"/>
    <w:rsid w:val="005B3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682D"/>
    <w:pPr>
      <w:autoSpaceDE w:val="0"/>
      <w:autoSpaceDN w:val="0"/>
      <w:adjustRightInd w:val="0"/>
      <w:spacing w:after="0" w:line="240" w:lineRule="auto"/>
    </w:pPr>
    <w:rPr>
      <w:rFonts w:ascii="Adobe Garamond Pro" w:hAnsi="Adobe Garamond Pro" w:cs="Adobe Garamond Pro"/>
      <w:color w:val="000000"/>
      <w:sz w:val="24"/>
      <w:szCs w:val="24"/>
    </w:rPr>
  </w:style>
  <w:style w:type="character" w:styleId="Hyperlink">
    <w:name w:val="Hyperlink"/>
    <w:basedOn w:val="DefaultParagraphFont"/>
    <w:uiPriority w:val="99"/>
    <w:unhideWhenUsed/>
    <w:rsid w:val="00957F9B"/>
    <w:rPr>
      <w:color w:val="0563C1" w:themeColor="hyperlink"/>
      <w:u w:val="single"/>
    </w:rPr>
  </w:style>
  <w:style w:type="paragraph" w:customStyle="1" w:styleId="summary1">
    <w:name w:val="summary1"/>
    <w:basedOn w:val="Normal"/>
    <w:rsid w:val="00D74C1D"/>
    <w:pPr>
      <w:spacing w:after="75" w:line="240" w:lineRule="auto"/>
    </w:pPr>
    <w:rPr>
      <w:rFonts w:ascii="Times New Roman" w:eastAsia="Times New Roman" w:hAnsi="Times New Roman" w:cs="Times New Roman"/>
      <w:color w:val="444444"/>
      <w:spacing w:val="-6"/>
      <w:sz w:val="30"/>
      <w:szCs w:val="30"/>
    </w:rPr>
  </w:style>
  <w:style w:type="paragraph" w:styleId="ListParagraph">
    <w:name w:val="List Paragraph"/>
    <w:basedOn w:val="Normal"/>
    <w:uiPriority w:val="34"/>
    <w:qFormat/>
    <w:rsid w:val="00D83DE8"/>
    <w:pPr>
      <w:ind w:left="720"/>
      <w:contextualSpacing/>
    </w:pPr>
  </w:style>
  <w:style w:type="paragraph" w:styleId="FootnoteText">
    <w:name w:val="footnote text"/>
    <w:basedOn w:val="Normal"/>
    <w:link w:val="FootnoteTextChar"/>
    <w:uiPriority w:val="99"/>
    <w:semiHidden/>
    <w:unhideWhenUsed/>
    <w:rsid w:val="00F44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FB7"/>
    <w:rPr>
      <w:sz w:val="20"/>
      <w:szCs w:val="20"/>
    </w:rPr>
  </w:style>
  <w:style w:type="character" w:styleId="FootnoteReference">
    <w:name w:val="footnote reference"/>
    <w:basedOn w:val="DefaultParagraphFont"/>
    <w:uiPriority w:val="99"/>
    <w:semiHidden/>
    <w:unhideWhenUsed/>
    <w:rsid w:val="00F44FB7"/>
    <w:rPr>
      <w:vertAlign w:val="superscript"/>
    </w:rPr>
  </w:style>
  <w:style w:type="paragraph" w:styleId="Header">
    <w:name w:val="header"/>
    <w:basedOn w:val="Normal"/>
    <w:link w:val="HeaderChar"/>
    <w:uiPriority w:val="99"/>
    <w:unhideWhenUsed/>
    <w:rsid w:val="00EA5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F1D"/>
  </w:style>
  <w:style w:type="paragraph" w:styleId="Footer">
    <w:name w:val="footer"/>
    <w:basedOn w:val="Normal"/>
    <w:link w:val="FooterChar"/>
    <w:uiPriority w:val="99"/>
    <w:unhideWhenUsed/>
    <w:rsid w:val="00EA5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F1D"/>
  </w:style>
  <w:style w:type="paragraph" w:styleId="NoSpacing">
    <w:name w:val="No Spacing"/>
    <w:link w:val="NoSpacingChar"/>
    <w:uiPriority w:val="1"/>
    <w:qFormat/>
    <w:rsid w:val="005A0AAD"/>
    <w:pPr>
      <w:spacing w:after="0" w:line="240" w:lineRule="auto"/>
    </w:pPr>
    <w:rPr>
      <w:rFonts w:eastAsiaTheme="minorEastAsia"/>
    </w:rPr>
  </w:style>
  <w:style w:type="character" w:customStyle="1" w:styleId="NoSpacingChar">
    <w:name w:val="No Spacing Char"/>
    <w:basedOn w:val="DefaultParagraphFont"/>
    <w:link w:val="NoSpacing"/>
    <w:uiPriority w:val="1"/>
    <w:rsid w:val="005A0AAD"/>
    <w:rPr>
      <w:rFonts w:eastAsiaTheme="minorEastAsia"/>
    </w:rPr>
  </w:style>
  <w:style w:type="character" w:styleId="CommentReference">
    <w:name w:val="annotation reference"/>
    <w:basedOn w:val="DefaultParagraphFont"/>
    <w:uiPriority w:val="99"/>
    <w:semiHidden/>
    <w:unhideWhenUsed/>
    <w:rsid w:val="005B3EA7"/>
    <w:rPr>
      <w:sz w:val="16"/>
      <w:szCs w:val="16"/>
    </w:rPr>
  </w:style>
  <w:style w:type="paragraph" w:styleId="CommentText">
    <w:name w:val="annotation text"/>
    <w:basedOn w:val="Normal"/>
    <w:link w:val="CommentTextChar"/>
    <w:uiPriority w:val="99"/>
    <w:semiHidden/>
    <w:unhideWhenUsed/>
    <w:rsid w:val="005B3EA7"/>
    <w:pPr>
      <w:spacing w:line="240" w:lineRule="auto"/>
    </w:pPr>
    <w:rPr>
      <w:sz w:val="20"/>
      <w:szCs w:val="20"/>
    </w:rPr>
  </w:style>
  <w:style w:type="character" w:customStyle="1" w:styleId="CommentTextChar">
    <w:name w:val="Comment Text Char"/>
    <w:basedOn w:val="DefaultParagraphFont"/>
    <w:link w:val="CommentText"/>
    <w:uiPriority w:val="99"/>
    <w:semiHidden/>
    <w:rsid w:val="005B3EA7"/>
    <w:rPr>
      <w:sz w:val="20"/>
      <w:szCs w:val="20"/>
    </w:rPr>
  </w:style>
  <w:style w:type="paragraph" w:styleId="CommentSubject">
    <w:name w:val="annotation subject"/>
    <w:basedOn w:val="CommentText"/>
    <w:next w:val="CommentText"/>
    <w:link w:val="CommentSubjectChar"/>
    <w:uiPriority w:val="99"/>
    <w:semiHidden/>
    <w:unhideWhenUsed/>
    <w:rsid w:val="005B3EA7"/>
    <w:rPr>
      <w:b/>
      <w:bCs/>
    </w:rPr>
  </w:style>
  <w:style w:type="character" w:customStyle="1" w:styleId="CommentSubjectChar">
    <w:name w:val="Comment Subject Char"/>
    <w:basedOn w:val="CommentTextChar"/>
    <w:link w:val="CommentSubject"/>
    <w:uiPriority w:val="99"/>
    <w:semiHidden/>
    <w:rsid w:val="005B3EA7"/>
    <w:rPr>
      <w:b/>
      <w:bCs/>
      <w:sz w:val="20"/>
      <w:szCs w:val="20"/>
    </w:rPr>
  </w:style>
  <w:style w:type="paragraph" w:styleId="BalloonText">
    <w:name w:val="Balloon Text"/>
    <w:basedOn w:val="Normal"/>
    <w:link w:val="BalloonTextChar"/>
    <w:uiPriority w:val="99"/>
    <w:semiHidden/>
    <w:unhideWhenUsed/>
    <w:rsid w:val="005B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A7"/>
    <w:rPr>
      <w:rFonts w:ascii="Tahoma" w:hAnsi="Tahoma" w:cs="Tahoma"/>
      <w:sz w:val="16"/>
      <w:szCs w:val="16"/>
    </w:rPr>
  </w:style>
  <w:style w:type="character" w:customStyle="1" w:styleId="apple-converted-space">
    <w:name w:val="apple-converted-space"/>
    <w:basedOn w:val="DefaultParagraphFont"/>
    <w:rsid w:val="005B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4703">
      <w:bodyDiv w:val="1"/>
      <w:marLeft w:val="0"/>
      <w:marRight w:val="0"/>
      <w:marTop w:val="2175"/>
      <w:marBottom w:val="0"/>
      <w:divBdr>
        <w:top w:val="none" w:sz="0" w:space="0" w:color="auto"/>
        <w:left w:val="none" w:sz="0" w:space="0" w:color="auto"/>
        <w:bottom w:val="none" w:sz="0" w:space="0" w:color="auto"/>
        <w:right w:val="none" w:sz="0" w:space="0" w:color="auto"/>
      </w:divBdr>
      <w:divsChild>
        <w:div w:id="1965689516">
          <w:marLeft w:val="0"/>
          <w:marRight w:val="0"/>
          <w:marTop w:val="0"/>
          <w:marBottom w:val="0"/>
          <w:divBdr>
            <w:top w:val="none" w:sz="0" w:space="0" w:color="auto"/>
            <w:left w:val="none" w:sz="0" w:space="0" w:color="auto"/>
            <w:bottom w:val="none" w:sz="0" w:space="0" w:color="auto"/>
            <w:right w:val="none" w:sz="0" w:space="0" w:color="auto"/>
          </w:divBdr>
          <w:divsChild>
            <w:div w:id="1568802179">
              <w:marLeft w:val="0"/>
              <w:marRight w:val="0"/>
              <w:marTop w:val="0"/>
              <w:marBottom w:val="0"/>
              <w:divBdr>
                <w:top w:val="none" w:sz="0" w:space="0" w:color="auto"/>
                <w:left w:val="none" w:sz="0" w:space="0" w:color="auto"/>
                <w:bottom w:val="none" w:sz="0" w:space="0" w:color="auto"/>
                <w:right w:val="none" w:sz="0" w:space="0" w:color="auto"/>
              </w:divBdr>
              <w:divsChild>
                <w:div w:id="1250695299">
                  <w:marLeft w:val="0"/>
                  <w:marRight w:val="0"/>
                  <w:marTop w:val="0"/>
                  <w:marBottom w:val="0"/>
                  <w:divBdr>
                    <w:top w:val="none" w:sz="0" w:space="0" w:color="auto"/>
                    <w:left w:val="none" w:sz="0" w:space="0" w:color="auto"/>
                    <w:bottom w:val="none" w:sz="0" w:space="0" w:color="auto"/>
                    <w:right w:val="none" w:sz="0" w:space="0" w:color="auto"/>
                  </w:divBdr>
                  <w:divsChild>
                    <w:div w:id="973832003">
                      <w:marLeft w:val="0"/>
                      <w:marRight w:val="0"/>
                      <w:marTop w:val="0"/>
                      <w:marBottom w:val="0"/>
                      <w:divBdr>
                        <w:top w:val="none" w:sz="0" w:space="0" w:color="auto"/>
                        <w:left w:val="none" w:sz="0" w:space="0" w:color="auto"/>
                        <w:bottom w:val="none" w:sz="0" w:space="0" w:color="auto"/>
                        <w:right w:val="none" w:sz="0" w:space="0" w:color="auto"/>
                      </w:divBdr>
                      <w:divsChild>
                        <w:div w:id="1941064774">
                          <w:marLeft w:val="0"/>
                          <w:marRight w:val="0"/>
                          <w:marTop w:val="0"/>
                          <w:marBottom w:val="0"/>
                          <w:divBdr>
                            <w:top w:val="none" w:sz="0" w:space="0" w:color="auto"/>
                            <w:left w:val="none" w:sz="0" w:space="0" w:color="auto"/>
                            <w:bottom w:val="none" w:sz="0" w:space="0" w:color="auto"/>
                            <w:right w:val="none" w:sz="0" w:space="0" w:color="auto"/>
                          </w:divBdr>
                          <w:divsChild>
                            <w:div w:id="716975404">
                              <w:marLeft w:val="0"/>
                              <w:marRight w:val="0"/>
                              <w:marTop w:val="0"/>
                              <w:marBottom w:val="0"/>
                              <w:divBdr>
                                <w:top w:val="none" w:sz="0" w:space="0" w:color="auto"/>
                                <w:left w:val="none" w:sz="0" w:space="0" w:color="auto"/>
                                <w:bottom w:val="none" w:sz="0" w:space="0" w:color="auto"/>
                                <w:right w:val="none" w:sz="0" w:space="0" w:color="auto"/>
                              </w:divBdr>
                              <w:divsChild>
                                <w:div w:id="2214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4325">
      <w:bodyDiv w:val="1"/>
      <w:marLeft w:val="0"/>
      <w:marRight w:val="0"/>
      <w:marTop w:val="0"/>
      <w:marBottom w:val="0"/>
      <w:divBdr>
        <w:top w:val="none" w:sz="0" w:space="0" w:color="auto"/>
        <w:left w:val="none" w:sz="0" w:space="0" w:color="auto"/>
        <w:bottom w:val="none" w:sz="0" w:space="0" w:color="auto"/>
        <w:right w:val="none" w:sz="0" w:space="0" w:color="auto"/>
      </w:divBdr>
    </w:div>
    <w:div w:id="300620697">
      <w:bodyDiv w:val="1"/>
      <w:marLeft w:val="0"/>
      <w:marRight w:val="0"/>
      <w:marTop w:val="0"/>
      <w:marBottom w:val="0"/>
      <w:divBdr>
        <w:top w:val="none" w:sz="0" w:space="0" w:color="auto"/>
        <w:left w:val="none" w:sz="0" w:space="0" w:color="auto"/>
        <w:bottom w:val="none" w:sz="0" w:space="0" w:color="auto"/>
        <w:right w:val="none" w:sz="0" w:space="0" w:color="auto"/>
      </w:divBdr>
      <w:divsChild>
        <w:div w:id="282421766">
          <w:marLeft w:val="0"/>
          <w:marRight w:val="0"/>
          <w:marTop w:val="0"/>
          <w:marBottom w:val="0"/>
          <w:divBdr>
            <w:top w:val="none" w:sz="0" w:space="0" w:color="auto"/>
            <w:left w:val="none" w:sz="0" w:space="0" w:color="auto"/>
            <w:bottom w:val="none" w:sz="0" w:space="0" w:color="auto"/>
            <w:right w:val="none" w:sz="0" w:space="0" w:color="auto"/>
          </w:divBdr>
          <w:divsChild>
            <w:div w:id="524946647">
              <w:marLeft w:val="0"/>
              <w:marRight w:val="0"/>
              <w:marTop w:val="0"/>
              <w:marBottom w:val="0"/>
              <w:divBdr>
                <w:top w:val="none" w:sz="0" w:space="0" w:color="auto"/>
                <w:left w:val="none" w:sz="0" w:space="0" w:color="auto"/>
                <w:bottom w:val="none" w:sz="0" w:space="0" w:color="auto"/>
                <w:right w:val="none" w:sz="0" w:space="0" w:color="auto"/>
              </w:divBdr>
              <w:divsChild>
                <w:div w:id="1246841248">
                  <w:marLeft w:val="0"/>
                  <w:marRight w:val="0"/>
                  <w:marTop w:val="0"/>
                  <w:marBottom w:val="0"/>
                  <w:divBdr>
                    <w:top w:val="none" w:sz="0" w:space="0" w:color="auto"/>
                    <w:left w:val="none" w:sz="0" w:space="0" w:color="auto"/>
                    <w:bottom w:val="none" w:sz="0" w:space="0" w:color="auto"/>
                    <w:right w:val="none" w:sz="0" w:space="0" w:color="auto"/>
                  </w:divBdr>
                  <w:divsChild>
                    <w:div w:id="1363743804">
                      <w:marLeft w:val="0"/>
                      <w:marRight w:val="0"/>
                      <w:marTop w:val="0"/>
                      <w:marBottom w:val="0"/>
                      <w:divBdr>
                        <w:top w:val="none" w:sz="0" w:space="0" w:color="auto"/>
                        <w:left w:val="none" w:sz="0" w:space="0" w:color="auto"/>
                        <w:bottom w:val="none" w:sz="0" w:space="0" w:color="auto"/>
                        <w:right w:val="none" w:sz="0" w:space="0" w:color="auto"/>
                      </w:divBdr>
                      <w:divsChild>
                        <w:div w:id="2120025544">
                          <w:marLeft w:val="0"/>
                          <w:marRight w:val="0"/>
                          <w:marTop w:val="0"/>
                          <w:marBottom w:val="0"/>
                          <w:divBdr>
                            <w:top w:val="none" w:sz="0" w:space="0" w:color="auto"/>
                            <w:left w:val="none" w:sz="0" w:space="0" w:color="auto"/>
                            <w:bottom w:val="none" w:sz="0" w:space="0" w:color="auto"/>
                            <w:right w:val="none" w:sz="0" w:space="0" w:color="auto"/>
                          </w:divBdr>
                          <w:divsChild>
                            <w:div w:id="282274902">
                              <w:marLeft w:val="0"/>
                              <w:marRight w:val="0"/>
                              <w:marTop w:val="0"/>
                              <w:marBottom w:val="0"/>
                              <w:divBdr>
                                <w:top w:val="none" w:sz="0" w:space="0" w:color="auto"/>
                                <w:left w:val="none" w:sz="0" w:space="0" w:color="auto"/>
                                <w:bottom w:val="none" w:sz="0" w:space="0" w:color="auto"/>
                                <w:right w:val="none" w:sz="0" w:space="0" w:color="auto"/>
                              </w:divBdr>
                              <w:divsChild>
                                <w:div w:id="16118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94425">
      <w:bodyDiv w:val="1"/>
      <w:marLeft w:val="0"/>
      <w:marRight w:val="0"/>
      <w:marTop w:val="2175"/>
      <w:marBottom w:val="0"/>
      <w:divBdr>
        <w:top w:val="none" w:sz="0" w:space="0" w:color="auto"/>
        <w:left w:val="none" w:sz="0" w:space="0" w:color="auto"/>
        <w:bottom w:val="none" w:sz="0" w:space="0" w:color="auto"/>
        <w:right w:val="none" w:sz="0" w:space="0" w:color="auto"/>
      </w:divBdr>
      <w:divsChild>
        <w:div w:id="745419150">
          <w:marLeft w:val="0"/>
          <w:marRight w:val="0"/>
          <w:marTop w:val="0"/>
          <w:marBottom w:val="0"/>
          <w:divBdr>
            <w:top w:val="none" w:sz="0" w:space="0" w:color="auto"/>
            <w:left w:val="none" w:sz="0" w:space="0" w:color="auto"/>
            <w:bottom w:val="none" w:sz="0" w:space="0" w:color="auto"/>
            <w:right w:val="none" w:sz="0" w:space="0" w:color="auto"/>
          </w:divBdr>
          <w:divsChild>
            <w:div w:id="481893232">
              <w:marLeft w:val="0"/>
              <w:marRight w:val="0"/>
              <w:marTop w:val="0"/>
              <w:marBottom w:val="0"/>
              <w:divBdr>
                <w:top w:val="none" w:sz="0" w:space="0" w:color="auto"/>
                <w:left w:val="none" w:sz="0" w:space="0" w:color="auto"/>
                <w:bottom w:val="none" w:sz="0" w:space="0" w:color="auto"/>
                <w:right w:val="none" w:sz="0" w:space="0" w:color="auto"/>
              </w:divBdr>
              <w:divsChild>
                <w:div w:id="1799568185">
                  <w:marLeft w:val="0"/>
                  <w:marRight w:val="0"/>
                  <w:marTop w:val="0"/>
                  <w:marBottom w:val="0"/>
                  <w:divBdr>
                    <w:top w:val="none" w:sz="0" w:space="0" w:color="auto"/>
                    <w:left w:val="none" w:sz="0" w:space="0" w:color="auto"/>
                    <w:bottom w:val="none" w:sz="0" w:space="0" w:color="auto"/>
                    <w:right w:val="none" w:sz="0" w:space="0" w:color="auto"/>
                  </w:divBdr>
                  <w:divsChild>
                    <w:div w:id="575556749">
                      <w:marLeft w:val="0"/>
                      <w:marRight w:val="0"/>
                      <w:marTop w:val="0"/>
                      <w:marBottom w:val="0"/>
                      <w:divBdr>
                        <w:top w:val="none" w:sz="0" w:space="0" w:color="auto"/>
                        <w:left w:val="none" w:sz="0" w:space="0" w:color="auto"/>
                        <w:bottom w:val="none" w:sz="0" w:space="0" w:color="auto"/>
                        <w:right w:val="none" w:sz="0" w:space="0" w:color="auto"/>
                      </w:divBdr>
                      <w:divsChild>
                        <w:div w:id="1212425366">
                          <w:marLeft w:val="0"/>
                          <w:marRight w:val="0"/>
                          <w:marTop w:val="0"/>
                          <w:marBottom w:val="0"/>
                          <w:divBdr>
                            <w:top w:val="none" w:sz="0" w:space="0" w:color="auto"/>
                            <w:left w:val="none" w:sz="0" w:space="0" w:color="auto"/>
                            <w:bottom w:val="none" w:sz="0" w:space="0" w:color="auto"/>
                            <w:right w:val="none" w:sz="0" w:space="0" w:color="auto"/>
                          </w:divBdr>
                          <w:divsChild>
                            <w:div w:id="1088889059">
                              <w:marLeft w:val="0"/>
                              <w:marRight w:val="0"/>
                              <w:marTop w:val="0"/>
                              <w:marBottom w:val="0"/>
                              <w:divBdr>
                                <w:top w:val="none" w:sz="0" w:space="0" w:color="auto"/>
                                <w:left w:val="none" w:sz="0" w:space="0" w:color="auto"/>
                                <w:bottom w:val="none" w:sz="0" w:space="0" w:color="auto"/>
                                <w:right w:val="none" w:sz="0" w:space="0" w:color="auto"/>
                              </w:divBdr>
                              <w:divsChild>
                                <w:div w:id="20067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039449">
      <w:bodyDiv w:val="1"/>
      <w:marLeft w:val="0"/>
      <w:marRight w:val="0"/>
      <w:marTop w:val="0"/>
      <w:marBottom w:val="0"/>
      <w:divBdr>
        <w:top w:val="none" w:sz="0" w:space="0" w:color="auto"/>
        <w:left w:val="none" w:sz="0" w:space="0" w:color="auto"/>
        <w:bottom w:val="none" w:sz="0" w:space="0" w:color="auto"/>
        <w:right w:val="none" w:sz="0" w:space="0" w:color="auto"/>
      </w:divBdr>
    </w:div>
    <w:div w:id="1545677650">
      <w:bodyDiv w:val="1"/>
      <w:marLeft w:val="0"/>
      <w:marRight w:val="0"/>
      <w:marTop w:val="0"/>
      <w:marBottom w:val="0"/>
      <w:divBdr>
        <w:top w:val="none" w:sz="0" w:space="0" w:color="auto"/>
        <w:left w:val="none" w:sz="0" w:space="0" w:color="auto"/>
        <w:bottom w:val="none" w:sz="0" w:space="0" w:color="auto"/>
        <w:right w:val="none" w:sz="0" w:space="0" w:color="auto"/>
      </w:divBdr>
    </w:div>
    <w:div w:id="1637685490">
      <w:bodyDiv w:val="1"/>
      <w:marLeft w:val="0"/>
      <w:marRight w:val="0"/>
      <w:marTop w:val="0"/>
      <w:marBottom w:val="0"/>
      <w:divBdr>
        <w:top w:val="none" w:sz="0" w:space="0" w:color="auto"/>
        <w:left w:val="none" w:sz="0" w:space="0" w:color="auto"/>
        <w:bottom w:val="none" w:sz="0" w:space="0" w:color="auto"/>
        <w:right w:val="none" w:sz="0" w:space="0" w:color="auto"/>
      </w:divBdr>
      <w:divsChild>
        <w:div w:id="1272280318">
          <w:marLeft w:val="0"/>
          <w:marRight w:val="0"/>
          <w:marTop w:val="0"/>
          <w:marBottom w:val="0"/>
          <w:divBdr>
            <w:top w:val="none" w:sz="0" w:space="0" w:color="auto"/>
            <w:left w:val="none" w:sz="0" w:space="0" w:color="auto"/>
            <w:bottom w:val="none" w:sz="0" w:space="0" w:color="auto"/>
            <w:right w:val="none" w:sz="0" w:space="0" w:color="auto"/>
          </w:divBdr>
          <w:divsChild>
            <w:div w:id="394399930">
              <w:marLeft w:val="0"/>
              <w:marRight w:val="0"/>
              <w:marTop w:val="0"/>
              <w:marBottom w:val="0"/>
              <w:divBdr>
                <w:top w:val="none" w:sz="0" w:space="0" w:color="auto"/>
                <w:left w:val="none" w:sz="0" w:space="0" w:color="auto"/>
                <w:bottom w:val="none" w:sz="0" w:space="0" w:color="auto"/>
                <w:right w:val="none" w:sz="0" w:space="0" w:color="auto"/>
              </w:divBdr>
              <w:divsChild>
                <w:div w:id="562758056">
                  <w:marLeft w:val="0"/>
                  <w:marRight w:val="0"/>
                  <w:marTop w:val="0"/>
                  <w:marBottom w:val="0"/>
                  <w:divBdr>
                    <w:top w:val="none" w:sz="0" w:space="0" w:color="auto"/>
                    <w:left w:val="none" w:sz="0" w:space="0" w:color="auto"/>
                    <w:bottom w:val="none" w:sz="0" w:space="0" w:color="auto"/>
                    <w:right w:val="none" w:sz="0" w:space="0" w:color="auto"/>
                  </w:divBdr>
                  <w:divsChild>
                    <w:div w:id="305088478">
                      <w:marLeft w:val="0"/>
                      <w:marRight w:val="0"/>
                      <w:marTop w:val="0"/>
                      <w:marBottom w:val="0"/>
                      <w:divBdr>
                        <w:top w:val="none" w:sz="0" w:space="0" w:color="auto"/>
                        <w:left w:val="none" w:sz="0" w:space="0" w:color="auto"/>
                        <w:bottom w:val="none" w:sz="0" w:space="0" w:color="auto"/>
                        <w:right w:val="none" w:sz="0" w:space="0" w:color="auto"/>
                      </w:divBdr>
                      <w:divsChild>
                        <w:div w:id="352729483">
                          <w:marLeft w:val="0"/>
                          <w:marRight w:val="0"/>
                          <w:marTop w:val="0"/>
                          <w:marBottom w:val="0"/>
                          <w:divBdr>
                            <w:top w:val="none" w:sz="0" w:space="0" w:color="auto"/>
                            <w:left w:val="none" w:sz="0" w:space="0" w:color="auto"/>
                            <w:bottom w:val="none" w:sz="0" w:space="0" w:color="auto"/>
                            <w:right w:val="none" w:sz="0" w:space="0" w:color="auto"/>
                          </w:divBdr>
                          <w:divsChild>
                            <w:div w:id="1298727166">
                              <w:marLeft w:val="0"/>
                              <w:marRight w:val="0"/>
                              <w:marTop w:val="0"/>
                              <w:marBottom w:val="0"/>
                              <w:divBdr>
                                <w:top w:val="none" w:sz="0" w:space="0" w:color="auto"/>
                                <w:left w:val="none" w:sz="0" w:space="0" w:color="auto"/>
                                <w:bottom w:val="none" w:sz="0" w:space="0" w:color="auto"/>
                                <w:right w:val="none" w:sz="0" w:space="0" w:color="auto"/>
                              </w:divBdr>
                              <w:divsChild>
                                <w:div w:id="65930175">
                                  <w:marLeft w:val="0"/>
                                  <w:marRight w:val="0"/>
                                  <w:marTop w:val="0"/>
                                  <w:marBottom w:val="0"/>
                                  <w:divBdr>
                                    <w:top w:val="none" w:sz="0" w:space="0" w:color="auto"/>
                                    <w:left w:val="none" w:sz="0" w:space="0" w:color="auto"/>
                                    <w:bottom w:val="none" w:sz="0" w:space="0" w:color="auto"/>
                                    <w:right w:val="none" w:sz="0" w:space="0" w:color="auto"/>
                                  </w:divBdr>
                                  <w:divsChild>
                                    <w:div w:id="1880623461">
                                      <w:marLeft w:val="0"/>
                                      <w:marRight w:val="0"/>
                                      <w:marTop w:val="0"/>
                                      <w:marBottom w:val="0"/>
                                      <w:divBdr>
                                        <w:top w:val="none" w:sz="0" w:space="0" w:color="auto"/>
                                        <w:left w:val="none" w:sz="0" w:space="0" w:color="auto"/>
                                        <w:bottom w:val="none" w:sz="0" w:space="0" w:color="auto"/>
                                        <w:right w:val="none" w:sz="0" w:space="0" w:color="auto"/>
                                      </w:divBdr>
                                      <w:divsChild>
                                        <w:div w:id="817302899">
                                          <w:marLeft w:val="0"/>
                                          <w:marRight w:val="0"/>
                                          <w:marTop w:val="0"/>
                                          <w:marBottom w:val="0"/>
                                          <w:divBdr>
                                            <w:top w:val="none" w:sz="0" w:space="0" w:color="auto"/>
                                            <w:left w:val="none" w:sz="0" w:space="0" w:color="auto"/>
                                            <w:bottom w:val="none" w:sz="0" w:space="0" w:color="auto"/>
                                            <w:right w:val="none" w:sz="0" w:space="0" w:color="auto"/>
                                          </w:divBdr>
                                          <w:divsChild>
                                            <w:div w:id="1147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125107">
      <w:bodyDiv w:val="1"/>
      <w:marLeft w:val="0"/>
      <w:marRight w:val="0"/>
      <w:marTop w:val="0"/>
      <w:marBottom w:val="0"/>
      <w:divBdr>
        <w:top w:val="none" w:sz="0" w:space="0" w:color="auto"/>
        <w:left w:val="none" w:sz="0" w:space="0" w:color="auto"/>
        <w:bottom w:val="none" w:sz="0" w:space="0" w:color="auto"/>
        <w:right w:val="none" w:sz="0" w:space="0" w:color="auto"/>
      </w:divBdr>
    </w:div>
    <w:div w:id="19555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kinsey.com/industries/financial-services/our-insights/the-fight-for-the-customer-mckinsey-global-banking-annual-review-2015" TargetMode="External"/><Relationship Id="rId18" Type="http://schemas.openxmlformats.org/officeDocument/2006/relationships/hyperlink" Target="http://insurancethoughtleadership.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usinessinsider.com/the-fintech-report-2016-financial-industry-trends-and-investment-2016-12" TargetMode="External"/><Relationship Id="rId17" Type="http://schemas.openxmlformats.org/officeDocument/2006/relationships/hyperlink" Target="https://www.gpo.gov/fdsys/pkg/USCODE-2011-title31/pdf/USCODE-2011-title31-subtitleI-chap3-subchapI-sec31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ij.com/story/131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itif.org/2016-policy-principles-fintech.pdf?_ga=1.84645593.1911117867.1482856566"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thefinancialbrand.com/62732/insurance-technology-insurtech-trends" TargetMode="External"/><Relationship Id="rId23" Type="http://schemas.openxmlformats.org/officeDocument/2006/relationships/header" Target="header3.xml"/><Relationship Id="rId10" Type="http://schemas.openxmlformats.org/officeDocument/2006/relationships/hyperlink" Target="http://www.trade.gov/topmarkets/financial-tech.as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binsights.com/reports/ITC-insurance-tech-deck.pdf" TargetMode="External"/><Relationship Id="rId14" Type="http://schemas.openxmlformats.org/officeDocument/2006/relationships/hyperlink" Target="http://letstalkpayments.com/how-banks-are-joining-hands-with-fintech-firms-to-serve-custome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8661-B3B5-489A-B433-46F84106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Woodrow Wilson International Center for Scholars</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Thanos</dc:creator>
  <cp:lastModifiedBy>Deploy</cp:lastModifiedBy>
  <cp:revision>2</cp:revision>
  <dcterms:created xsi:type="dcterms:W3CDTF">2017-03-31T18:13:00Z</dcterms:created>
  <dcterms:modified xsi:type="dcterms:W3CDTF">2017-03-31T18:13:00Z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